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F50BFC" w:rsidP="00F50BFC">
      <w:pPr>
        <w:jc w:val="right"/>
        <w:rPr>
          <w:b/>
          <w:szCs w:val="22"/>
        </w:rPr>
      </w:pPr>
      <w:bookmarkStart w:id="0" w:name="_GoBack"/>
      <w:bookmarkEnd w:id="0"/>
    </w:p>
    <w:p w:rsidR="00F50BFC" w:rsidRPr="00144AB2" w:rsidP="00F50BFC">
      <w:pPr>
        <w:jc w:val="right"/>
        <w:rPr>
          <w:b/>
          <w:szCs w:val="22"/>
        </w:rPr>
      </w:pPr>
      <w:r w:rsidRPr="00144AB2">
        <w:rPr>
          <w:b/>
          <w:szCs w:val="22"/>
        </w:rPr>
        <w:t>DA 1</w:t>
      </w:r>
      <w:r>
        <w:rPr>
          <w:b/>
          <w:szCs w:val="22"/>
        </w:rPr>
        <w:t>8</w:t>
      </w:r>
      <w:r w:rsidRPr="00144AB2">
        <w:rPr>
          <w:b/>
          <w:szCs w:val="22"/>
        </w:rPr>
        <w:t>-</w:t>
      </w:r>
      <w:r>
        <w:rPr>
          <w:b/>
          <w:szCs w:val="22"/>
        </w:rPr>
        <w:t>174</w:t>
      </w:r>
    </w:p>
    <w:p w:rsidR="00F50BFC" w:rsidRPr="00144AB2" w:rsidP="00F50BFC">
      <w:pPr>
        <w:spacing w:before="60"/>
        <w:jc w:val="right"/>
        <w:rPr>
          <w:b/>
          <w:szCs w:val="22"/>
        </w:rPr>
      </w:pPr>
      <w:r>
        <w:rPr>
          <w:b/>
          <w:szCs w:val="22"/>
        </w:rPr>
        <w:t>Released: February 21, 2018</w:t>
      </w:r>
    </w:p>
    <w:p w:rsidR="00F50BFC" w:rsidRPr="00B10B07" w:rsidP="00F50BFC">
      <w:pPr>
        <w:jc w:val="right"/>
        <w:rPr>
          <w:szCs w:val="22"/>
        </w:rPr>
      </w:pPr>
    </w:p>
    <w:p w:rsidR="00F50BFC" w:rsidP="00F50BFC">
      <w:pPr>
        <w:spacing w:after="240"/>
        <w:jc w:val="center"/>
        <w:rPr>
          <w:b/>
          <w:szCs w:val="22"/>
        </w:rPr>
      </w:pPr>
      <w:bookmarkStart w:id="1" w:name="_Hlk498674442"/>
      <w:r>
        <w:rPr>
          <w:b/>
          <w:szCs w:val="22"/>
        </w:rPr>
        <w:t>ERRATUM</w:t>
      </w:r>
    </w:p>
    <w:p w:rsidR="00F50BFC" w:rsidRPr="00B10B07" w:rsidP="00F50BFC">
      <w:pPr>
        <w:spacing w:after="240"/>
        <w:jc w:val="center"/>
        <w:rPr>
          <w:b/>
          <w:szCs w:val="22"/>
        </w:rPr>
      </w:pPr>
      <w:r w:rsidRPr="00B10B07">
        <w:rPr>
          <w:b/>
          <w:szCs w:val="22"/>
        </w:rPr>
        <w:t>PUBLIC SAFETY AND HOMELAND SECURITY BUREAU ACCEPTS 800 MHZ TRANSITION ADMINISTRATOR’S RECOMMENDATION WITH CHANGES PROPOSED BY SPRINT FOR ESTABLISHING A DIVIDING LINE FOR ENHANCED SPECIALIZED MOBILE RADIO (ESMR) SYSTEMS</w:t>
      </w:r>
      <w:r>
        <w:rPr>
          <w:b/>
          <w:szCs w:val="22"/>
        </w:rPr>
        <w:t xml:space="preserve"> IN CANADA BORDER REGIONS 1 THROUGH 6</w:t>
      </w:r>
    </w:p>
    <w:p w:rsidR="00F50BFC" w:rsidRPr="00B10B07" w:rsidP="00F50BFC">
      <w:pPr>
        <w:spacing w:after="240"/>
        <w:jc w:val="center"/>
        <w:rPr>
          <w:szCs w:val="22"/>
        </w:rPr>
      </w:pPr>
      <w:bookmarkEnd w:id="1"/>
      <w:r>
        <w:rPr>
          <w:b/>
          <w:szCs w:val="22"/>
        </w:rPr>
        <w:t>WT</w:t>
      </w:r>
      <w:r w:rsidRPr="00B10B07">
        <w:rPr>
          <w:b/>
          <w:szCs w:val="22"/>
        </w:rPr>
        <w:t xml:space="preserve"> Docket </w:t>
      </w:r>
      <w:r>
        <w:rPr>
          <w:b/>
          <w:szCs w:val="22"/>
        </w:rPr>
        <w:t xml:space="preserve">No. </w:t>
      </w:r>
      <w:r w:rsidRPr="00B10B07">
        <w:rPr>
          <w:b/>
          <w:szCs w:val="22"/>
        </w:rPr>
        <w:t>02-55</w:t>
      </w:r>
    </w:p>
    <w:p w:rsidR="00F50BFC" w:rsidP="00F50BFC">
      <w:pPr>
        <w:ind w:firstLine="720"/>
        <w:rPr>
          <w:szCs w:val="22"/>
        </w:rPr>
      </w:pPr>
      <w:r>
        <w:rPr>
          <w:szCs w:val="22"/>
        </w:rPr>
        <w:t xml:space="preserve">On November 17, 2017, the </w:t>
      </w:r>
      <w:r w:rsidRPr="00B10B07">
        <w:rPr>
          <w:szCs w:val="22"/>
        </w:rPr>
        <w:t>Public Safety and Homeland Security Bureau</w:t>
      </w:r>
      <w:r>
        <w:rPr>
          <w:szCs w:val="22"/>
        </w:rPr>
        <w:t xml:space="preserve"> released a Public Notice, DA </w:t>
      </w:r>
      <w:r w:rsidRPr="003C6F5F">
        <w:rPr>
          <w:szCs w:val="22"/>
        </w:rPr>
        <w:t>17-1120</w:t>
      </w:r>
      <w:r>
        <w:rPr>
          <w:szCs w:val="22"/>
        </w:rPr>
        <w:t>, in the above captioned proceeding.</w:t>
      </w:r>
      <w:r>
        <w:rPr>
          <w:rStyle w:val="FootnoteReference"/>
          <w:szCs w:val="22"/>
        </w:rPr>
        <w:footnoteReference w:id="3"/>
      </w:r>
      <w:r>
        <w:rPr>
          <w:szCs w:val="22"/>
        </w:rPr>
        <w:t xml:space="preserve">  The notice included Appendix II, Table 1, which contained an omission in listing the National Public Safety Planning Advisory Committee Regions affected by the </w:t>
      </w:r>
      <w:r w:rsidRPr="00B10B07">
        <w:rPr>
          <w:szCs w:val="22"/>
        </w:rPr>
        <w:t xml:space="preserve">Enhanced Specialized Mobile Radio </w:t>
      </w:r>
      <w:r>
        <w:rPr>
          <w:szCs w:val="22"/>
        </w:rPr>
        <w:t>(ESMR) dividing line in the 800 MHz band for Canada Border Regions (CBR) 1 through 6.</w:t>
      </w:r>
      <w:r>
        <w:rPr>
          <w:rStyle w:val="FootnoteReference"/>
          <w:szCs w:val="22"/>
        </w:rPr>
        <w:footnoteReference w:id="4"/>
      </w:r>
      <w:r>
        <w:rPr>
          <w:szCs w:val="22"/>
        </w:rPr>
        <w:t xml:space="preserve">  </w:t>
      </w:r>
    </w:p>
    <w:p w:rsidR="00F50BFC" w:rsidP="00F50BFC">
      <w:pPr>
        <w:ind w:firstLine="720"/>
        <w:rPr>
          <w:szCs w:val="22"/>
        </w:rPr>
      </w:pPr>
    </w:p>
    <w:p w:rsidR="00F50BFC" w:rsidP="00F50BFC">
      <w:pPr>
        <w:ind w:firstLine="720"/>
        <w:rPr>
          <w:szCs w:val="22"/>
        </w:rPr>
      </w:pPr>
      <w:r>
        <w:rPr>
          <w:szCs w:val="22"/>
        </w:rPr>
        <w:t xml:space="preserve">This Erratum supplies a replacement Appendix II, Table 1 (attached) correcting the omission and showing that Michigan (Region 21) is affected by the ESMR dividing line in both CBR 3 and 4.       </w:t>
      </w:r>
    </w:p>
    <w:p w:rsidR="00F50BFC" w:rsidP="00F50BFC">
      <w:pPr>
        <w:ind w:firstLine="720"/>
        <w:rPr>
          <w:szCs w:val="22"/>
        </w:rPr>
      </w:pPr>
    </w:p>
    <w:p w:rsidR="00F50BFC" w:rsidRPr="006D640C" w:rsidP="00F50BFC">
      <w:pPr>
        <w:ind w:firstLine="720"/>
      </w:pPr>
      <w:r w:rsidRPr="006D640C">
        <w:t xml:space="preserve">For further information regarding this </w:t>
      </w:r>
      <w:r>
        <w:t xml:space="preserve">matter </w:t>
      </w:r>
      <w:r w:rsidRPr="006D640C">
        <w:t xml:space="preserve">contact </w:t>
      </w:r>
      <w:r>
        <w:t>Brian Marenco</w:t>
      </w:r>
      <w:r w:rsidRPr="006D640C">
        <w:t xml:space="preserve">, </w:t>
      </w:r>
      <w:r>
        <w:t xml:space="preserve">Electronics Engineer, </w:t>
      </w:r>
      <w:r w:rsidRPr="006D640C">
        <w:t>Policy and Licensing Division, Public Safety and Homeland Security Bureau, (202) 418-08</w:t>
      </w:r>
      <w:r>
        <w:t>3</w:t>
      </w:r>
      <w:r w:rsidRPr="006D640C">
        <w:t>8 or</w:t>
      </w:r>
      <w:r>
        <w:t xml:space="preserve"> </w:t>
      </w:r>
      <w:r>
        <w:fldChar w:fldCharType="begin"/>
      </w:r>
      <w:r>
        <w:instrText xml:space="preserve"> HYPERLINK "mailto:Brian.Marenco@fcc.gov" </w:instrText>
      </w:r>
      <w:r>
        <w:fldChar w:fldCharType="separate"/>
      </w:r>
      <w:r w:rsidRPr="00177A7C">
        <w:rPr>
          <w:rStyle w:val="Hyperlink"/>
        </w:rPr>
        <w:t>Brian.Marenco@fcc.gov</w:t>
      </w:r>
      <w:r>
        <w:fldChar w:fldCharType="end"/>
      </w:r>
      <w:r w:rsidRPr="006D640C">
        <w:t xml:space="preserve">. </w:t>
      </w:r>
    </w:p>
    <w:p w:rsidR="00F50BFC" w:rsidRPr="006D640C" w:rsidP="00F50BFC">
      <w:pPr>
        <w:ind w:firstLine="720"/>
        <w:rPr>
          <w:rFonts w:eastAsia="Batang"/>
        </w:rPr>
      </w:pPr>
    </w:p>
    <w:p w:rsidR="00F50BFC" w:rsidRPr="006D640C" w:rsidP="00F50BFC">
      <w:pPr>
        <w:jc w:val="center"/>
      </w:pPr>
      <w:r w:rsidRPr="006D640C">
        <w:t xml:space="preserve">-- </w:t>
      </w:r>
      <w:r w:rsidRPr="00F50BFC">
        <w:rPr>
          <w:b/>
        </w:rPr>
        <w:t>FCC</w:t>
      </w:r>
      <w:r w:rsidRPr="006D640C">
        <w:t xml:space="preserve"> --</w:t>
      </w:r>
    </w:p>
    <w:p w:rsidR="00F50BFC" w:rsidP="00F50BFC">
      <w:pPr>
        <w:rPr>
          <w:szCs w:val="22"/>
        </w:rPr>
      </w:pPr>
    </w:p>
    <w:p w:rsidR="00F50BFC" w:rsidP="00F50BFC">
      <w:pPr>
        <w:rPr>
          <w:szCs w:val="22"/>
        </w:rPr>
      </w:pPr>
    </w:p>
    <w:p w:rsidR="00F50BFC" w:rsidP="00F50BFC">
      <w:pPr>
        <w:rPr>
          <w:szCs w:val="22"/>
        </w:rPr>
      </w:pPr>
    </w:p>
    <w:p w:rsidR="00F50BFC" w:rsidP="00F50BFC">
      <w:pPr>
        <w:rPr>
          <w:szCs w:val="22"/>
        </w:rPr>
      </w:pPr>
      <w:r>
        <w:rPr>
          <w:szCs w:val="22"/>
        </w:rPr>
        <w:br w:type="page"/>
      </w:r>
    </w:p>
    <w:p w:rsidR="00F50BFC" w:rsidP="00F50BFC">
      <w:pPr>
        <w:jc w:val="center"/>
        <w:rPr>
          <w:b/>
          <w:szCs w:val="22"/>
        </w:rPr>
      </w:pPr>
      <w:r w:rsidRPr="00914A26">
        <w:rPr>
          <w:b/>
          <w:szCs w:val="22"/>
        </w:rPr>
        <w:t>Appendix II</w:t>
      </w:r>
      <w:r>
        <w:rPr>
          <w:b/>
          <w:szCs w:val="22"/>
        </w:rPr>
        <w:t xml:space="preserve"> – ESMR Dividing Lines for Canada Border Regions</w:t>
      </w:r>
    </w:p>
    <w:p w:rsidR="00F50BFC" w:rsidP="00F50BFC">
      <w:pPr>
        <w:jc w:val="center"/>
        <w:rPr>
          <w:b/>
          <w:szCs w:val="22"/>
        </w:rPr>
      </w:pPr>
    </w:p>
    <w:p w:rsidR="00F50BFC" w:rsidRPr="00914A26" w:rsidP="00F50BFC">
      <w:pPr>
        <w:rPr>
          <w:b/>
          <w:szCs w:val="22"/>
        </w:rPr>
      </w:pPr>
      <w:r>
        <w:rPr>
          <w:b/>
          <w:szCs w:val="22"/>
        </w:rPr>
        <w:t>Table 1 – CBRs Subject to Canada Border Band Plan</w:t>
      </w:r>
    </w:p>
    <w:p w:rsidR="00F50BFC" w:rsidP="00F50BFC">
      <w:pPr>
        <w:rPr>
          <w:szCs w:val="22"/>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528"/>
        <w:gridCol w:w="1596"/>
        <w:gridCol w:w="3497"/>
        <w:gridCol w:w="2729"/>
      </w:tblGrid>
      <w:tr w:rsidTr="00765436">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1547" w:type="dxa"/>
            <w:shd w:val="clear" w:color="auto" w:fill="D9D9D9" w:themeFill="background1" w:themeFillShade="D9"/>
          </w:tcPr>
          <w:p w:rsidR="00F50BFC" w:rsidP="00765436">
            <w:pPr>
              <w:widowControl w:val="0"/>
              <w:rPr>
                <w:rStyle w:val="DefaultParagraphFont"/>
                <w:snapToGrid w:val="0"/>
                <w:kern w:val="28"/>
                <w:sz w:val="22"/>
                <w:szCs w:val="22"/>
                <w:lang w:val="en-US" w:eastAsia="en-US" w:bidi="ar-SA"/>
              </w:rPr>
            </w:pPr>
            <w:r w:rsidRPr="00B10B07">
              <w:rPr>
                <w:b/>
                <w:snapToGrid w:val="0"/>
                <w:kern w:val="28"/>
                <w:sz w:val="22"/>
                <w:szCs w:val="22"/>
                <w:lang w:val="en-US" w:eastAsia="en-US" w:bidi="ar-SA"/>
              </w:rPr>
              <w:t>Canadian Border Region (CBR)</w:t>
            </w:r>
          </w:p>
        </w:tc>
        <w:tc>
          <w:tcPr>
            <w:tcW w:w="1624" w:type="dxa"/>
            <w:shd w:val="clear" w:color="auto" w:fill="D9D9D9" w:themeFill="background1" w:themeFillShade="D9"/>
          </w:tcPr>
          <w:p w:rsidR="00F50BFC" w:rsidRPr="00E526F4" w:rsidP="00765436">
            <w:pPr>
              <w:widowControl w:val="0"/>
              <w:rPr>
                <w:rStyle w:val="DefaultParagraphFont"/>
                <w:b/>
                <w:snapToGrid w:val="0"/>
                <w:kern w:val="28"/>
                <w:sz w:val="22"/>
                <w:szCs w:val="22"/>
                <w:lang w:val="en-US" w:eastAsia="en-US" w:bidi="ar-SA"/>
              </w:rPr>
            </w:pPr>
            <w:r w:rsidRPr="00E526F4">
              <w:rPr>
                <w:b/>
                <w:snapToGrid w:val="0"/>
                <w:kern w:val="28"/>
                <w:sz w:val="22"/>
                <w:szCs w:val="22"/>
                <w:lang w:val="en-US" w:eastAsia="en-US" w:bidi="ar-SA"/>
              </w:rPr>
              <w:t xml:space="preserve">Distance CBR Extends from Canada Border </w:t>
            </w:r>
            <w:r>
              <w:rPr>
                <w:b/>
                <w:snapToGrid w:val="0"/>
                <w:kern w:val="28"/>
                <w:sz w:val="22"/>
                <w:szCs w:val="22"/>
                <w:lang w:val="en-US" w:eastAsia="en-US" w:bidi="ar-SA"/>
              </w:rPr>
              <w:t>(KM)</w:t>
            </w:r>
          </w:p>
        </w:tc>
        <w:tc>
          <w:tcPr>
            <w:tcW w:w="3598" w:type="dxa"/>
            <w:shd w:val="clear" w:color="auto" w:fill="D9D9D9" w:themeFill="background1" w:themeFillShade="D9"/>
          </w:tcPr>
          <w:p w:rsidR="00F50BFC" w:rsidRPr="0069254A" w:rsidP="00765436">
            <w:pPr>
              <w:widowControl w:val="0"/>
              <w:rPr>
                <w:rStyle w:val="DefaultParagraphFont"/>
                <w:b/>
                <w:snapToGrid w:val="0"/>
                <w:kern w:val="28"/>
                <w:sz w:val="22"/>
                <w:szCs w:val="22"/>
                <w:lang w:val="en-US" w:eastAsia="en-US" w:bidi="ar-SA"/>
              </w:rPr>
            </w:pPr>
            <w:r w:rsidRPr="0069254A">
              <w:rPr>
                <w:b/>
                <w:snapToGrid w:val="0"/>
                <w:kern w:val="28"/>
                <w:sz w:val="22"/>
                <w:szCs w:val="22"/>
                <w:lang w:val="en-US" w:eastAsia="en-US" w:bidi="ar-SA"/>
              </w:rPr>
              <w:t>NPSPAC Regions</w:t>
            </w:r>
            <w:r>
              <w:rPr>
                <w:b/>
                <w:snapToGrid w:val="0"/>
                <w:kern w:val="28"/>
                <w:sz w:val="22"/>
                <w:szCs w:val="22"/>
                <w:lang w:val="en-US" w:eastAsia="en-US" w:bidi="ar-SA"/>
              </w:rPr>
              <w:t xml:space="preserve"> </w:t>
            </w:r>
            <w:r w:rsidRPr="00E526F4">
              <w:rPr>
                <w:b/>
                <w:i/>
                <w:snapToGrid w:val="0"/>
                <w:kern w:val="28"/>
                <w:sz w:val="22"/>
                <w:szCs w:val="22"/>
                <w:lang w:val="en-US" w:eastAsia="en-US" w:bidi="ar-SA"/>
              </w:rPr>
              <w:t>Partially</w:t>
            </w:r>
            <w:r>
              <w:rPr>
                <w:b/>
                <w:snapToGrid w:val="0"/>
                <w:kern w:val="28"/>
                <w:sz w:val="22"/>
                <w:szCs w:val="22"/>
                <w:lang w:val="en-US" w:eastAsia="en-US" w:bidi="ar-SA"/>
              </w:rPr>
              <w:t xml:space="preserve"> Impacted by CBR</w:t>
            </w:r>
          </w:p>
        </w:tc>
        <w:tc>
          <w:tcPr>
            <w:tcW w:w="2807" w:type="dxa"/>
            <w:shd w:val="clear" w:color="auto" w:fill="D9D9D9" w:themeFill="background1" w:themeFillShade="D9"/>
          </w:tcPr>
          <w:p w:rsidR="00F50BFC" w:rsidRPr="0069254A" w:rsidP="00765436">
            <w:pPr>
              <w:widowControl w:val="0"/>
              <w:rPr>
                <w:rStyle w:val="DefaultParagraphFont"/>
                <w:b/>
                <w:snapToGrid w:val="0"/>
                <w:kern w:val="28"/>
                <w:sz w:val="22"/>
                <w:szCs w:val="22"/>
                <w:lang w:val="en-US" w:eastAsia="en-US" w:bidi="ar-SA"/>
              </w:rPr>
            </w:pPr>
            <w:r w:rsidRPr="0069254A">
              <w:rPr>
                <w:b/>
                <w:snapToGrid w:val="0"/>
                <w:kern w:val="28"/>
                <w:sz w:val="22"/>
                <w:szCs w:val="22"/>
                <w:lang w:val="en-US" w:eastAsia="en-US" w:bidi="ar-SA"/>
              </w:rPr>
              <w:t>Dividing Line Between ESMR and Non-ESMR Segment</w:t>
            </w:r>
            <w:r>
              <w:rPr>
                <w:b/>
                <w:snapToGrid w:val="0"/>
                <w:kern w:val="28"/>
                <w:sz w:val="22"/>
                <w:szCs w:val="22"/>
                <w:lang w:val="en-US" w:eastAsia="en-US" w:bidi="ar-SA"/>
              </w:rPr>
              <w:t>s</w:t>
            </w:r>
            <w:r w:rsidRPr="0069254A">
              <w:rPr>
                <w:b/>
                <w:snapToGrid w:val="0"/>
                <w:kern w:val="28"/>
                <w:sz w:val="22"/>
                <w:szCs w:val="22"/>
                <w:lang w:val="en-US" w:eastAsia="en-US" w:bidi="ar-SA"/>
              </w:rPr>
              <w:t xml:space="preserve"> of Band</w:t>
            </w:r>
            <w:r>
              <w:rPr>
                <w:b/>
                <w:snapToGrid w:val="0"/>
                <w:kern w:val="28"/>
                <w:sz w:val="22"/>
                <w:szCs w:val="22"/>
                <w:lang w:val="en-US" w:eastAsia="en-US" w:bidi="ar-SA"/>
              </w:rPr>
              <w:t xml:space="preserve"> in CBR (MHz)*</w:t>
            </w:r>
          </w:p>
        </w:tc>
      </w:tr>
      <w:tr w:rsidTr="00765436">
        <w:tblPrEx>
          <w:tblW w:w="0" w:type="auto"/>
          <w:tblInd w:w="0" w:type="dxa"/>
          <w:tblCellMar>
            <w:top w:w="0" w:type="dxa"/>
            <w:left w:w="108" w:type="dxa"/>
            <w:bottom w:w="0" w:type="dxa"/>
            <w:right w:w="108" w:type="dxa"/>
          </w:tblCellMar>
          <w:tblLook w:val="04A0"/>
        </w:tblPrEx>
        <w:trPr>
          <w:trHeight w:val="288"/>
        </w:trPr>
        <w:tc>
          <w:tcPr>
            <w:tcW w:w="1547" w:type="dxa"/>
          </w:tcPr>
          <w:p w:rsidR="00F50BFC" w:rsidP="00765436">
            <w:pPr>
              <w:widowControl w:val="0"/>
              <w:jc w:val="center"/>
              <w:rPr>
                <w:rStyle w:val="DefaultParagraphFont"/>
                <w:snapToGrid w:val="0"/>
                <w:kern w:val="28"/>
                <w:sz w:val="22"/>
                <w:szCs w:val="22"/>
                <w:lang w:val="en-US" w:eastAsia="en-US" w:bidi="ar-SA"/>
              </w:rPr>
            </w:pPr>
            <w:r>
              <w:rPr>
                <w:snapToGrid w:val="0"/>
                <w:kern w:val="28"/>
                <w:sz w:val="22"/>
                <w:szCs w:val="22"/>
                <w:lang w:val="en-US" w:eastAsia="en-US" w:bidi="ar-SA"/>
              </w:rPr>
              <w:t>1</w:t>
            </w:r>
          </w:p>
        </w:tc>
        <w:tc>
          <w:tcPr>
            <w:tcW w:w="1624" w:type="dxa"/>
          </w:tcPr>
          <w:p w:rsidR="00F50BFC" w:rsidP="00765436">
            <w:pPr>
              <w:widowControl w:val="0"/>
              <w:jc w:val="center"/>
              <w:rPr>
                <w:rStyle w:val="DefaultParagraphFont"/>
                <w:snapToGrid w:val="0"/>
                <w:kern w:val="28"/>
                <w:sz w:val="22"/>
                <w:szCs w:val="22"/>
                <w:lang w:val="en-US" w:eastAsia="en-US" w:bidi="ar-SA"/>
              </w:rPr>
            </w:pPr>
            <w:r>
              <w:rPr>
                <w:snapToGrid w:val="0"/>
                <w:kern w:val="28"/>
                <w:sz w:val="22"/>
                <w:szCs w:val="22"/>
                <w:lang w:val="en-US" w:eastAsia="en-US" w:bidi="ar-SA"/>
              </w:rPr>
              <w:t>0 – 100</w:t>
            </w:r>
          </w:p>
        </w:tc>
        <w:tc>
          <w:tcPr>
            <w:tcW w:w="3598" w:type="dxa"/>
            <w:tcBorders>
              <w:bottom w:val="single" w:sz="4" w:space="0" w:color="auto"/>
            </w:tcBorders>
          </w:tcPr>
          <w:p w:rsidR="00F50BFC" w:rsidP="00765436">
            <w:pPr>
              <w:widowControl w:val="0"/>
              <w:rPr>
                <w:rStyle w:val="DefaultParagraphFont"/>
                <w:snapToGrid w:val="0"/>
                <w:kern w:val="28"/>
                <w:sz w:val="22"/>
                <w:szCs w:val="22"/>
                <w:lang w:val="en-US" w:eastAsia="en-US" w:bidi="ar-SA"/>
              </w:rPr>
            </w:pPr>
            <w:r>
              <w:rPr>
                <w:snapToGrid w:val="0"/>
                <w:kern w:val="28"/>
                <w:sz w:val="22"/>
                <w:szCs w:val="22"/>
                <w:lang w:val="en-US" w:eastAsia="en-US" w:bidi="ar-SA"/>
              </w:rPr>
              <w:t>Region 19 – New England</w:t>
            </w:r>
          </w:p>
        </w:tc>
        <w:tc>
          <w:tcPr>
            <w:tcW w:w="2807" w:type="dxa"/>
          </w:tcPr>
          <w:p w:rsidR="00F50BFC" w:rsidP="00765436">
            <w:pPr>
              <w:widowControl w:val="0"/>
              <w:jc w:val="center"/>
              <w:rPr>
                <w:rStyle w:val="DefaultParagraphFont"/>
                <w:snapToGrid w:val="0"/>
                <w:kern w:val="28"/>
                <w:sz w:val="22"/>
                <w:szCs w:val="22"/>
                <w:lang w:val="en-US" w:eastAsia="en-US" w:bidi="ar-SA"/>
              </w:rPr>
            </w:pPr>
            <w:r w:rsidRPr="00B10B07">
              <w:rPr>
                <w:snapToGrid w:val="0"/>
                <w:kern w:val="28"/>
                <w:sz w:val="22"/>
                <w:szCs w:val="22"/>
                <w:lang w:val="en-US" w:eastAsia="en-US" w:bidi="ar-SA"/>
              </w:rPr>
              <w:t>863.300</w:t>
            </w:r>
          </w:p>
        </w:tc>
      </w:tr>
      <w:tr w:rsidTr="00765436">
        <w:tblPrEx>
          <w:tblW w:w="0" w:type="auto"/>
          <w:tblInd w:w="0" w:type="dxa"/>
          <w:tblCellMar>
            <w:top w:w="0" w:type="dxa"/>
            <w:left w:w="108" w:type="dxa"/>
            <w:bottom w:w="0" w:type="dxa"/>
            <w:right w:w="108" w:type="dxa"/>
          </w:tblCellMar>
          <w:tblLook w:val="04A0"/>
        </w:tblPrEx>
        <w:trPr>
          <w:trHeight w:val="288"/>
        </w:trPr>
        <w:tc>
          <w:tcPr>
            <w:tcW w:w="1547" w:type="dxa"/>
            <w:vMerge w:val="restart"/>
            <w:vAlign w:val="center"/>
          </w:tcPr>
          <w:p w:rsidR="00F50BFC" w:rsidP="00765436">
            <w:pPr>
              <w:widowControl w:val="0"/>
              <w:jc w:val="center"/>
              <w:rPr>
                <w:rStyle w:val="DefaultParagraphFont"/>
                <w:snapToGrid w:val="0"/>
                <w:kern w:val="28"/>
                <w:sz w:val="22"/>
                <w:szCs w:val="22"/>
                <w:lang w:val="en-US" w:eastAsia="en-US" w:bidi="ar-SA"/>
              </w:rPr>
            </w:pPr>
            <w:r>
              <w:rPr>
                <w:snapToGrid w:val="0"/>
                <w:kern w:val="28"/>
                <w:sz w:val="22"/>
                <w:szCs w:val="22"/>
                <w:lang w:val="en-US" w:eastAsia="en-US" w:bidi="ar-SA"/>
              </w:rPr>
              <w:t>2</w:t>
            </w:r>
          </w:p>
        </w:tc>
        <w:tc>
          <w:tcPr>
            <w:tcW w:w="1624" w:type="dxa"/>
            <w:vMerge w:val="restart"/>
            <w:vAlign w:val="center"/>
          </w:tcPr>
          <w:p w:rsidR="00F50BFC" w:rsidP="00765436">
            <w:pPr>
              <w:widowControl w:val="0"/>
              <w:jc w:val="center"/>
              <w:rPr>
                <w:rStyle w:val="DefaultParagraphFont"/>
                <w:snapToGrid w:val="0"/>
                <w:kern w:val="28"/>
                <w:sz w:val="22"/>
                <w:szCs w:val="22"/>
                <w:lang w:val="en-US" w:eastAsia="en-US" w:bidi="ar-SA"/>
              </w:rPr>
            </w:pPr>
            <w:r>
              <w:rPr>
                <w:snapToGrid w:val="0"/>
                <w:kern w:val="28"/>
                <w:sz w:val="22"/>
                <w:szCs w:val="22"/>
                <w:lang w:val="en-US" w:eastAsia="en-US" w:bidi="ar-SA"/>
              </w:rPr>
              <w:t>0 – 100</w:t>
            </w:r>
          </w:p>
        </w:tc>
        <w:tc>
          <w:tcPr>
            <w:tcW w:w="3598" w:type="dxa"/>
            <w:tcBorders>
              <w:bottom w:val="dotDash" w:sz="4" w:space="0" w:color="auto"/>
            </w:tcBorders>
          </w:tcPr>
          <w:p w:rsidR="00F50BFC" w:rsidP="00765436">
            <w:pPr>
              <w:widowControl w:val="0"/>
              <w:rPr>
                <w:rStyle w:val="DefaultParagraphFont"/>
                <w:snapToGrid w:val="0"/>
                <w:kern w:val="28"/>
                <w:sz w:val="22"/>
                <w:szCs w:val="22"/>
                <w:lang w:val="en-US" w:eastAsia="en-US" w:bidi="ar-SA"/>
              </w:rPr>
            </w:pPr>
            <w:r>
              <w:rPr>
                <w:snapToGrid w:val="0"/>
                <w:kern w:val="28"/>
                <w:sz w:val="22"/>
                <w:szCs w:val="22"/>
                <w:lang w:val="en-US" w:eastAsia="en-US" w:bidi="ar-SA"/>
              </w:rPr>
              <w:t>Region 19 – New England</w:t>
            </w:r>
          </w:p>
        </w:tc>
        <w:tc>
          <w:tcPr>
            <w:tcW w:w="2807" w:type="dxa"/>
            <w:tcBorders>
              <w:bottom w:val="dotDash" w:sz="4" w:space="0" w:color="auto"/>
            </w:tcBorders>
          </w:tcPr>
          <w:p w:rsidR="00F50BFC" w:rsidRPr="00B10B07" w:rsidP="00765436">
            <w:pPr>
              <w:widowControl w:val="0"/>
              <w:jc w:val="center"/>
              <w:rPr>
                <w:rStyle w:val="DefaultParagraphFont"/>
                <w:snapToGrid w:val="0"/>
                <w:kern w:val="28"/>
                <w:sz w:val="22"/>
                <w:szCs w:val="22"/>
                <w:lang w:val="en-US" w:eastAsia="en-US" w:bidi="ar-SA"/>
              </w:rPr>
            </w:pPr>
            <w:r>
              <w:rPr>
                <w:snapToGrid w:val="0"/>
                <w:kern w:val="28"/>
                <w:sz w:val="22"/>
                <w:szCs w:val="22"/>
                <w:lang w:val="en-US" w:eastAsia="en-US" w:bidi="ar-SA"/>
              </w:rPr>
              <w:t>863.900</w:t>
            </w:r>
          </w:p>
        </w:tc>
      </w:tr>
      <w:tr w:rsidTr="00765436">
        <w:tblPrEx>
          <w:tblW w:w="0" w:type="auto"/>
          <w:tblInd w:w="0" w:type="dxa"/>
          <w:tblCellMar>
            <w:top w:w="0" w:type="dxa"/>
            <w:left w:w="108" w:type="dxa"/>
            <w:bottom w:w="0" w:type="dxa"/>
            <w:right w:w="108" w:type="dxa"/>
          </w:tblCellMar>
          <w:tblLook w:val="04A0"/>
        </w:tblPrEx>
        <w:trPr>
          <w:trHeight w:val="288"/>
        </w:trPr>
        <w:tc>
          <w:tcPr>
            <w:tcW w:w="1547" w:type="dxa"/>
            <w:vMerge/>
          </w:tcPr>
          <w:p w:rsidR="00F50BFC" w:rsidP="00765436">
            <w:pPr>
              <w:widowControl w:val="0"/>
              <w:jc w:val="center"/>
              <w:rPr>
                <w:rStyle w:val="DefaultParagraphFont"/>
                <w:snapToGrid w:val="0"/>
                <w:kern w:val="28"/>
                <w:sz w:val="22"/>
                <w:szCs w:val="22"/>
                <w:lang w:val="en-US" w:eastAsia="en-US" w:bidi="ar-SA"/>
              </w:rPr>
            </w:pPr>
          </w:p>
        </w:tc>
        <w:tc>
          <w:tcPr>
            <w:tcW w:w="1624" w:type="dxa"/>
            <w:vMerge/>
          </w:tcPr>
          <w:p w:rsidR="00F50BFC" w:rsidP="00765436">
            <w:pPr>
              <w:widowControl w:val="0"/>
              <w:jc w:val="center"/>
              <w:rPr>
                <w:rStyle w:val="DefaultParagraphFont"/>
                <w:snapToGrid w:val="0"/>
                <w:kern w:val="28"/>
                <w:sz w:val="22"/>
                <w:szCs w:val="22"/>
                <w:lang w:val="en-US" w:eastAsia="en-US" w:bidi="ar-SA"/>
              </w:rPr>
            </w:pPr>
          </w:p>
        </w:tc>
        <w:tc>
          <w:tcPr>
            <w:tcW w:w="3598" w:type="dxa"/>
            <w:tcBorders>
              <w:top w:val="dotDash" w:sz="4" w:space="0" w:color="auto"/>
              <w:bottom w:val="dotDash" w:sz="4" w:space="0" w:color="auto"/>
            </w:tcBorders>
          </w:tcPr>
          <w:p w:rsidR="00F50BFC" w:rsidP="00765436">
            <w:pPr>
              <w:widowControl w:val="0"/>
              <w:rPr>
                <w:rStyle w:val="DefaultParagraphFont"/>
                <w:snapToGrid w:val="0"/>
                <w:kern w:val="28"/>
                <w:sz w:val="22"/>
                <w:szCs w:val="22"/>
                <w:lang w:val="en-US" w:eastAsia="en-US" w:bidi="ar-SA"/>
              </w:rPr>
            </w:pPr>
            <w:r>
              <w:rPr>
                <w:snapToGrid w:val="0"/>
                <w:kern w:val="28"/>
                <w:sz w:val="22"/>
                <w:szCs w:val="22"/>
                <w:lang w:val="en-US" w:eastAsia="en-US" w:bidi="ar-SA"/>
              </w:rPr>
              <w:t>Region 30 – Upstate New York</w:t>
            </w:r>
          </w:p>
        </w:tc>
        <w:tc>
          <w:tcPr>
            <w:tcW w:w="2807" w:type="dxa"/>
            <w:tcBorders>
              <w:top w:val="dotDash" w:sz="4" w:space="0" w:color="auto"/>
              <w:bottom w:val="dotDash" w:sz="4" w:space="0" w:color="auto"/>
            </w:tcBorders>
          </w:tcPr>
          <w:p w:rsidR="00F50BFC" w:rsidRPr="00B10B07" w:rsidP="00765436">
            <w:pPr>
              <w:widowControl w:val="0"/>
              <w:jc w:val="center"/>
              <w:rPr>
                <w:rStyle w:val="DefaultParagraphFont"/>
                <w:snapToGrid w:val="0"/>
                <w:kern w:val="28"/>
                <w:sz w:val="22"/>
                <w:szCs w:val="22"/>
                <w:lang w:val="en-US" w:eastAsia="en-US" w:bidi="ar-SA"/>
              </w:rPr>
            </w:pPr>
            <w:r>
              <w:rPr>
                <w:snapToGrid w:val="0"/>
                <w:kern w:val="28"/>
                <w:sz w:val="22"/>
                <w:szCs w:val="22"/>
                <w:lang w:val="en-US" w:eastAsia="en-US" w:bidi="ar-SA"/>
              </w:rPr>
              <w:t>863.900</w:t>
            </w:r>
          </w:p>
        </w:tc>
      </w:tr>
      <w:tr w:rsidTr="00765436">
        <w:tblPrEx>
          <w:tblW w:w="0" w:type="auto"/>
          <w:tblInd w:w="0" w:type="dxa"/>
          <w:tblCellMar>
            <w:top w:w="0" w:type="dxa"/>
            <w:left w:w="108" w:type="dxa"/>
            <w:bottom w:w="0" w:type="dxa"/>
            <w:right w:w="108" w:type="dxa"/>
          </w:tblCellMar>
          <w:tblLook w:val="04A0"/>
        </w:tblPrEx>
        <w:trPr>
          <w:trHeight w:val="288"/>
        </w:trPr>
        <w:tc>
          <w:tcPr>
            <w:tcW w:w="1547" w:type="dxa"/>
            <w:vMerge/>
          </w:tcPr>
          <w:p w:rsidR="00F50BFC" w:rsidP="00765436">
            <w:pPr>
              <w:widowControl w:val="0"/>
              <w:jc w:val="center"/>
              <w:rPr>
                <w:rStyle w:val="DefaultParagraphFont"/>
                <w:snapToGrid w:val="0"/>
                <w:kern w:val="28"/>
                <w:sz w:val="22"/>
                <w:szCs w:val="22"/>
                <w:lang w:val="en-US" w:eastAsia="en-US" w:bidi="ar-SA"/>
              </w:rPr>
            </w:pPr>
          </w:p>
        </w:tc>
        <w:tc>
          <w:tcPr>
            <w:tcW w:w="1624" w:type="dxa"/>
            <w:vMerge/>
          </w:tcPr>
          <w:p w:rsidR="00F50BFC" w:rsidP="00765436">
            <w:pPr>
              <w:widowControl w:val="0"/>
              <w:jc w:val="center"/>
              <w:rPr>
                <w:rStyle w:val="DefaultParagraphFont"/>
                <w:snapToGrid w:val="0"/>
                <w:kern w:val="28"/>
                <w:sz w:val="22"/>
                <w:szCs w:val="22"/>
                <w:lang w:val="en-US" w:eastAsia="en-US" w:bidi="ar-SA"/>
              </w:rPr>
            </w:pPr>
          </w:p>
        </w:tc>
        <w:tc>
          <w:tcPr>
            <w:tcW w:w="3598" w:type="dxa"/>
            <w:tcBorders>
              <w:top w:val="dotDash" w:sz="4" w:space="0" w:color="auto"/>
              <w:bottom w:val="dotDash" w:sz="4" w:space="0" w:color="auto"/>
            </w:tcBorders>
          </w:tcPr>
          <w:p w:rsidR="00F50BFC" w:rsidP="00765436">
            <w:pPr>
              <w:widowControl w:val="0"/>
              <w:rPr>
                <w:rStyle w:val="DefaultParagraphFont"/>
                <w:snapToGrid w:val="0"/>
                <w:kern w:val="28"/>
                <w:sz w:val="22"/>
                <w:szCs w:val="22"/>
                <w:lang w:val="en-US" w:eastAsia="en-US" w:bidi="ar-SA"/>
              </w:rPr>
            </w:pPr>
            <w:r>
              <w:rPr>
                <w:snapToGrid w:val="0"/>
                <w:kern w:val="28"/>
                <w:sz w:val="22"/>
                <w:szCs w:val="22"/>
                <w:lang w:val="en-US" w:eastAsia="en-US" w:bidi="ar-SA"/>
              </w:rPr>
              <w:t>Region 55 – Western New York</w:t>
            </w:r>
          </w:p>
        </w:tc>
        <w:tc>
          <w:tcPr>
            <w:tcW w:w="2807" w:type="dxa"/>
            <w:tcBorders>
              <w:top w:val="dotDash" w:sz="4" w:space="0" w:color="auto"/>
              <w:bottom w:val="dotDash" w:sz="4" w:space="0" w:color="auto"/>
            </w:tcBorders>
          </w:tcPr>
          <w:p w:rsidR="00F50BFC" w:rsidRPr="00B10B07" w:rsidP="00765436">
            <w:pPr>
              <w:widowControl w:val="0"/>
              <w:jc w:val="center"/>
              <w:rPr>
                <w:rStyle w:val="DefaultParagraphFont"/>
                <w:snapToGrid w:val="0"/>
                <w:kern w:val="28"/>
                <w:sz w:val="22"/>
                <w:szCs w:val="22"/>
                <w:lang w:val="en-US" w:eastAsia="en-US" w:bidi="ar-SA"/>
              </w:rPr>
            </w:pPr>
            <w:r>
              <w:rPr>
                <w:snapToGrid w:val="0"/>
                <w:kern w:val="28"/>
                <w:sz w:val="22"/>
                <w:szCs w:val="22"/>
                <w:lang w:val="en-US" w:eastAsia="en-US" w:bidi="ar-SA"/>
              </w:rPr>
              <w:t>864.575</w:t>
            </w:r>
          </w:p>
        </w:tc>
      </w:tr>
      <w:tr w:rsidTr="00765436">
        <w:tblPrEx>
          <w:tblW w:w="0" w:type="auto"/>
          <w:tblInd w:w="0" w:type="dxa"/>
          <w:tblCellMar>
            <w:top w:w="0" w:type="dxa"/>
            <w:left w:w="108" w:type="dxa"/>
            <w:bottom w:w="0" w:type="dxa"/>
            <w:right w:w="108" w:type="dxa"/>
          </w:tblCellMar>
          <w:tblLook w:val="04A0"/>
        </w:tblPrEx>
        <w:trPr>
          <w:trHeight w:val="288"/>
        </w:trPr>
        <w:tc>
          <w:tcPr>
            <w:tcW w:w="1547" w:type="dxa"/>
            <w:vMerge/>
          </w:tcPr>
          <w:p w:rsidR="00F50BFC" w:rsidP="00765436">
            <w:pPr>
              <w:widowControl w:val="0"/>
              <w:jc w:val="center"/>
              <w:rPr>
                <w:rStyle w:val="DefaultParagraphFont"/>
                <w:snapToGrid w:val="0"/>
                <w:kern w:val="28"/>
                <w:sz w:val="22"/>
                <w:szCs w:val="22"/>
                <w:lang w:val="en-US" w:eastAsia="en-US" w:bidi="ar-SA"/>
              </w:rPr>
            </w:pPr>
          </w:p>
        </w:tc>
        <w:tc>
          <w:tcPr>
            <w:tcW w:w="1624" w:type="dxa"/>
            <w:vMerge/>
          </w:tcPr>
          <w:p w:rsidR="00F50BFC" w:rsidP="00765436">
            <w:pPr>
              <w:widowControl w:val="0"/>
              <w:jc w:val="center"/>
              <w:rPr>
                <w:rStyle w:val="DefaultParagraphFont"/>
                <w:snapToGrid w:val="0"/>
                <w:kern w:val="28"/>
                <w:sz w:val="22"/>
                <w:szCs w:val="22"/>
                <w:lang w:val="en-US" w:eastAsia="en-US" w:bidi="ar-SA"/>
              </w:rPr>
            </w:pPr>
          </w:p>
        </w:tc>
        <w:tc>
          <w:tcPr>
            <w:tcW w:w="3598" w:type="dxa"/>
            <w:tcBorders>
              <w:top w:val="dotDash" w:sz="4" w:space="0" w:color="auto"/>
              <w:bottom w:val="single" w:sz="4" w:space="0" w:color="auto"/>
            </w:tcBorders>
          </w:tcPr>
          <w:p w:rsidR="00F50BFC" w:rsidP="00765436">
            <w:pPr>
              <w:widowControl w:val="0"/>
              <w:rPr>
                <w:rStyle w:val="DefaultParagraphFont"/>
                <w:snapToGrid w:val="0"/>
                <w:kern w:val="28"/>
                <w:sz w:val="22"/>
                <w:szCs w:val="22"/>
                <w:lang w:val="en-US" w:eastAsia="en-US" w:bidi="ar-SA"/>
              </w:rPr>
            </w:pPr>
            <w:r>
              <w:rPr>
                <w:snapToGrid w:val="0"/>
                <w:kern w:val="28"/>
                <w:sz w:val="22"/>
                <w:szCs w:val="22"/>
                <w:lang w:val="en-US" w:eastAsia="en-US" w:bidi="ar-SA"/>
              </w:rPr>
              <w:t>Region 36 – Western Pennsylvania</w:t>
            </w:r>
          </w:p>
        </w:tc>
        <w:tc>
          <w:tcPr>
            <w:tcW w:w="2807" w:type="dxa"/>
            <w:tcBorders>
              <w:top w:val="dotDash" w:sz="4" w:space="0" w:color="auto"/>
              <w:bottom w:val="single" w:sz="4" w:space="0" w:color="auto"/>
            </w:tcBorders>
          </w:tcPr>
          <w:p w:rsidR="00F50BFC" w:rsidRPr="00B10B07" w:rsidP="00765436">
            <w:pPr>
              <w:widowControl w:val="0"/>
              <w:jc w:val="center"/>
              <w:rPr>
                <w:rStyle w:val="DefaultParagraphFont"/>
                <w:snapToGrid w:val="0"/>
                <w:kern w:val="28"/>
                <w:sz w:val="22"/>
                <w:szCs w:val="22"/>
                <w:lang w:val="en-US" w:eastAsia="en-US" w:bidi="ar-SA"/>
              </w:rPr>
            </w:pPr>
            <w:r>
              <w:rPr>
                <w:snapToGrid w:val="0"/>
                <w:kern w:val="28"/>
                <w:sz w:val="22"/>
                <w:szCs w:val="22"/>
                <w:lang w:val="en-US" w:eastAsia="en-US" w:bidi="ar-SA"/>
              </w:rPr>
              <w:t>864.825</w:t>
            </w:r>
          </w:p>
        </w:tc>
      </w:tr>
      <w:tr w:rsidTr="00765436">
        <w:tblPrEx>
          <w:tblW w:w="0" w:type="auto"/>
          <w:tblInd w:w="0" w:type="dxa"/>
          <w:tblCellMar>
            <w:top w:w="0" w:type="dxa"/>
            <w:left w:w="108" w:type="dxa"/>
            <w:bottom w:w="0" w:type="dxa"/>
            <w:right w:w="108" w:type="dxa"/>
          </w:tblCellMar>
          <w:tblLook w:val="04A0"/>
        </w:tblPrEx>
        <w:trPr>
          <w:trHeight w:val="288"/>
        </w:trPr>
        <w:tc>
          <w:tcPr>
            <w:tcW w:w="1547" w:type="dxa"/>
            <w:vAlign w:val="center"/>
          </w:tcPr>
          <w:p w:rsidR="00F50BFC" w:rsidP="00765436">
            <w:pPr>
              <w:widowControl w:val="0"/>
              <w:jc w:val="center"/>
              <w:rPr>
                <w:rStyle w:val="DefaultParagraphFont"/>
                <w:snapToGrid w:val="0"/>
                <w:kern w:val="28"/>
                <w:sz w:val="22"/>
                <w:szCs w:val="22"/>
                <w:lang w:val="en-US" w:eastAsia="en-US" w:bidi="ar-SA"/>
              </w:rPr>
            </w:pPr>
            <w:r>
              <w:rPr>
                <w:snapToGrid w:val="0"/>
                <w:kern w:val="28"/>
                <w:sz w:val="22"/>
                <w:szCs w:val="22"/>
                <w:lang w:val="en-US" w:eastAsia="en-US" w:bidi="ar-SA"/>
              </w:rPr>
              <w:t>3</w:t>
            </w:r>
          </w:p>
        </w:tc>
        <w:tc>
          <w:tcPr>
            <w:tcW w:w="1624" w:type="dxa"/>
            <w:vAlign w:val="center"/>
          </w:tcPr>
          <w:p w:rsidR="00F50BFC" w:rsidP="00765436">
            <w:pPr>
              <w:widowControl w:val="0"/>
              <w:jc w:val="center"/>
              <w:rPr>
                <w:rStyle w:val="DefaultParagraphFont"/>
                <w:snapToGrid w:val="0"/>
                <w:kern w:val="28"/>
                <w:sz w:val="22"/>
                <w:szCs w:val="22"/>
                <w:lang w:val="en-US" w:eastAsia="en-US" w:bidi="ar-SA"/>
              </w:rPr>
            </w:pPr>
            <w:r>
              <w:rPr>
                <w:snapToGrid w:val="0"/>
                <w:kern w:val="28"/>
                <w:sz w:val="22"/>
                <w:szCs w:val="22"/>
                <w:lang w:val="en-US" w:eastAsia="en-US" w:bidi="ar-SA"/>
              </w:rPr>
              <w:t>0 – 100</w:t>
            </w:r>
          </w:p>
        </w:tc>
        <w:tc>
          <w:tcPr>
            <w:tcW w:w="3598" w:type="dxa"/>
            <w:tcBorders>
              <w:top w:val="single" w:sz="4" w:space="0" w:color="auto"/>
              <w:bottom w:val="single" w:sz="4" w:space="0" w:color="auto"/>
            </w:tcBorders>
          </w:tcPr>
          <w:p w:rsidR="00F50BFC" w:rsidP="00765436">
            <w:pPr>
              <w:widowControl w:val="0"/>
              <w:rPr>
                <w:rStyle w:val="DefaultParagraphFont"/>
                <w:snapToGrid w:val="0"/>
                <w:kern w:val="28"/>
                <w:sz w:val="22"/>
                <w:szCs w:val="22"/>
                <w:lang w:val="en-US" w:eastAsia="en-US" w:bidi="ar-SA"/>
              </w:rPr>
            </w:pPr>
            <w:r>
              <w:rPr>
                <w:snapToGrid w:val="0"/>
                <w:kern w:val="28"/>
                <w:sz w:val="22"/>
                <w:szCs w:val="22"/>
                <w:lang w:val="en-US" w:eastAsia="en-US" w:bidi="ar-SA"/>
              </w:rPr>
              <w:t>Region 33 – Ohio</w:t>
            </w:r>
          </w:p>
          <w:p w:rsidR="00F50BFC" w:rsidP="00765436">
            <w:pPr>
              <w:widowControl w:val="0"/>
              <w:rPr>
                <w:rStyle w:val="DefaultParagraphFont"/>
                <w:snapToGrid w:val="0"/>
                <w:kern w:val="28"/>
                <w:sz w:val="22"/>
                <w:szCs w:val="22"/>
                <w:lang w:val="en-US" w:eastAsia="en-US" w:bidi="ar-SA"/>
              </w:rPr>
            </w:pPr>
            <w:r>
              <w:rPr>
                <w:snapToGrid w:val="0"/>
                <w:kern w:val="28"/>
                <w:sz w:val="22"/>
                <w:szCs w:val="22"/>
                <w:lang w:val="en-US" w:eastAsia="en-US" w:bidi="ar-SA"/>
              </w:rPr>
              <w:t>Region 21 – Michigan</w:t>
            </w:r>
          </w:p>
        </w:tc>
        <w:tc>
          <w:tcPr>
            <w:tcW w:w="2807" w:type="dxa"/>
            <w:tcBorders>
              <w:top w:val="single" w:sz="4" w:space="0" w:color="auto"/>
              <w:bottom w:val="single" w:sz="4" w:space="0" w:color="auto"/>
            </w:tcBorders>
            <w:vAlign w:val="center"/>
          </w:tcPr>
          <w:p w:rsidR="00F50BFC" w:rsidP="00765436">
            <w:pPr>
              <w:widowControl w:val="0"/>
              <w:jc w:val="center"/>
              <w:rPr>
                <w:rStyle w:val="DefaultParagraphFont"/>
                <w:snapToGrid w:val="0"/>
                <w:kern w:val="28"/>
                <w:sz w:val="22"/>
                <w:szCs w:val="22"/>
                <w:lang w:val="en-US" w:eastAsia="en-US" w:bidi="ar-SA"/>
              </w:rPr>
            </w:pPr>
            <w:r>
              <w:rPr>
                <w:snapToGrid w:val="0"/>
                <w:kern w:val="28"/>
                <w:sz w:val="22"/>
                <w:szCs w:val="22"/>
                <w:lang w:val="en-US" w:eastAsia="en-US" w:bidi="ar-SA"/>
              </w:rPr>
              <w:t>862.925</w:t>
            </w:r>
          </w:p>
        </w:tc>
      </w:tr>
      <w:tr w:rsidTr="00765436">
        <w:tblPrEx>
          <w:tblW w:w="0" w:type="auto"/>
          <w:tblInd w:w="0" w:type="dxa"/>
          <w:tblCellMar>
            <w:top w:w="0" w:type="dxa"/>
            <w:left w:w="108" w:type="dxa"/>
            <w:bottom w:w="0" w:type="dxa"/>
            <w:right w:w="108" w:type="dxa"/>
          </w:tblCellMar>
          <w:tblLook w:val="04A0"/>
        </w:tblPrEx>
        <w:trPr>
          <w:trHeight w:val="288"/>
        </w:trPr>
        <w:tc>
          <w:tcPr>
            <w:tcW w:w="1547" w:type="dxa"/>
            <w:vAlign w:val="center"/>
          </w:tcPr>
          <w:p w:rsidR="00F50BFC" w:rsidP="00765436">
            <w:pPr>
              <w:widowControl w:val="0"/>
              <w:jc w:val="center"/>
              <w:rPr>
                <w:rStyle w:val="DefaultParagraphFont"/>
                <w:snapToGrid w:val="0"/>
                <w:kern w:val="28"/>
                <w:sz w:val="22"/>
                <w:szCs w:val="22"/>
                <w:lang w:val="en-US" w:eastAsia="en-US" w:bidi="ar-SA"/>
              </w:rPr>
            </w:pPr>
            <w:r>
              <w:rPr>
                <w:snapToGrid w:val="0"/>
                <w:kern w:val="28"/>
                <w:sz w:val="22"/>
                <w:szCs w:val="22"/>
                <w:lang w:val="en-US" w:eastAsia="en-US" w:bidi="ar-SA"/>
              </w:rPr>
              <w:t>4</w:t>
            </w:r>
          </w:p>
        </w:tc>
        <w:tc>
          <w:tcPr>
            <w:tcW w:w="1624" w:type="dxa"/>
            <w:vAlign w:val="center"/>
          </w:tcPr>
          <w:p w:rsidR="00F50BFC" w:rsidP="00765436">
            <w:pPr>
              <w:widowControl w:val="0"/>
              <w:jc w:val="center"/>
              <w:rPr>
                <w:rStyle w:val="DefaultParagraphFont"/>
                <w:snapToGrid w:val="0"/>
                <w:kern w:val="28"/>
                <w:sz w:val="22"/>
                <w:szCs w:val="22"/>
                <w:lang w:val="en-US" w:eastAsia="en-US" w:bidi="ar-SA"/>
              </w:rPr>
            </w:pPr>
            <w:r>
              <w:rPr>
                <w:snapToGrid w:val="0"/>
                <w:kern w:val="28"/>
                <w:sz w:val="22"/>
                <w:szCs w:val="22"/>
                <w:lang w:val="en-US" w:eastAsia="en-US" w:bidi="ar-SA"/>
              </w:rPr>
              <w:t>0 – 100</w:t>
            </w:r>
          </w:p>
        </w:tc>
        <w:tc>
          <w:tcPr>
            <w:tcW w:w="3598" w:type="dxa"/>
            <w:tcBorders>
              <w:top w:val="single" w:sz="4" w:space="0" w:color="auto"/>
              <w:bottom w:val="single" w:sz="4" w:space="0" w:color="auto"/>
            </w:tcBorders>
          </w:tcPr>
          <w:p w:rsidR="00F50BFC" w:rsidP="00765436">
            <w:pPr>
              <w:widowControl w:val="0"/>
              <w:rPr>
                <w:rStyle w:val="DefaultParagraphFont"/>
                <w:snapToGrid w:val="0"/>
                <w:kern w:val="28"/>
                <w:sz w:val="22"/>
                <w:szCs w:val="22"/>
                <w:lang w:val="en-US" w:eastAsia="en-US" w:bidi="ar-SA"/>
              </w:rPr>
            </w:pPr>
            <w:r>
              <w:rPr>
                <w:snapToGrid w:val="0"/>
                <w:kern w:val="28"/>
                <w:sz w:val="22"/>
                <w:szCs w:val="22"/>
                <w:lang w:val="en-US" w:eastAsia="en-US" w:bidi="ar-SA"/>
              </w:rPr>
              <w:t>Region 21 - Michigan</w:t>
            </w:r>
          </w:p>
          <w:p w:rsidR="00F50BFC" w:rsidP="00765436">
            <w:pPr>
              <w:widowControl w:val="0"/>
              <w:rPr>
                <w:rStyle w:val="DefaultParagraphFont"/>
                <w:snapToGrid w:val="0"/>
                <w:kern w:val="28"/>
                <w:sz w:val="22"/>
                <w:szCs w:val="22"/>
                <w:lang w:val="en-US" w:eastAsia="en-US" w:bidi="ar-SA"/>
              </w:rPr>
            </w:pPr>
            <w:r>
              <w:rPr>
                <w:snapToGrid w:val="0"/>
                <w:kern w:val="28"/>
                <w:sz w:val="22"/>
                <w:szCs w:val="22"/>
                <w:lang w:val="en-US" w:eastAsia="en-US" w:bidi="ar-SA"/>
              </w:rPr>
              <w:t>Region 22 – Minnesota</w:t>
            </w:r>
          </w:p>
          <w:p w:rsidR="00F50BFC" w:rsidP="00765436">
            <w:pPr>
              <w:widowControl w:val="0"/>
              <w:rPr>
                <w:rStyle w:val="DefaultParagraphFont"/>
                <w:snapToGrid w:val="0"/>
                <w:kern w:val="28"/>
                <w:sz w:val="22"/>
                <w:szCs w:val="22"/>
                <w:lang w:val="en-US" w:eastAsia="en-US" w:bidi="ar-SA"/>
              </w:rPr>
            </w:pPr>
            <w:r>
              <w:rPr>
                <w:snapToGrid w:val="0"/>
                <w:kern w:val="28"/>
                <w:sz w:val="22"/>
                <w:szCs w:val="22"/>
                <w:lang w:val="en-US" w:eastAsia="en-US" w:bidi="ar-SA"/>
              </w:rPr>
              <w:t>Region 32 – North Dakota</w:t>
            </w:r>
          </w:p>
          <w:p w:rsidR="00F50BFC" w:rsidP="00765436">
            <w:pPr>
              <w:widowControl w:val="0"/>
              <w:rPr>
                <w:rStyle w:val="DefaultParagraphFont"/>
                <w:snapToGrid w:val="0"/>
                <w:kern w:val="28"/>
                <w:sz w:val="22"/>
                <w:szCs w:val="22"/>
                <w:lang w:val="en-US" w:eastAsia="en-US" w:bidi="ar-SA"/>
              </w:rPr>
            </w:pPr>
            <w:r>
              <w:rPr>
                <w:snapToGrid w:val="0"/>
                <w:kern w:val="28"/>
                <w:sz w:val="22"/>
                <w:szCs w:val="22"/>
                <w:lang w:val="en-US" w:eastAsia="en-US" w:bidi="ar-SA"/>
              </w:rPr>
              <w:t>Region 25 – Montana</w:t>
            </w:r>
          </w:p>
          <w:p w:rsidR="00F50BFC" w:rsidP="00765436">
            <w:pPr>
              <w:widowControl w:val="0"/>
              <w:rPr>
                <w:rStyle w:val="DefaultParagraphFont"/>
                <w:snapToGrid w:val="0"/>
                <w:kern w:val="28"/>
                <w:sz w:val="22"/>
                <w:szCs w:val="22"/>
                <w:lang w:val="en-US" w:eastAsia="en-US" w:bidi="ar-SA"/>
              </w:rPr>
            </w:pPr>
            <w:r>
              <w:rPr>
                <w:snapToGrid w:val="0"/>
                <w:kern w:val="28"/>
                <w:sz w:val="22"/>
                <w:szCs w:val="22"/>
                <w:lang w:val="en-US" w:eastAsia="en-US" w:bidi="ar-SA"/>
              </w:rPr>
              <w:t>Region 12 – Idaho</w:t>
            </w:r>
          </w:p>
          <w:p w:rsidR="00F50BFC" w:rsidP="00765436">
            <w:pPr>
              <w:widowControl w:val="0"/>
              <w:rPr>
                <w:rStyle w:val="DefaultParagraphFont"/>
                <w:snapToGrid w:val="0"/>
                <w:kern w:val="28"/>
                <w:sz w:val="22"/>
                <w:szCs w:val="22"/>
                <w:lang w:val="en-US" w:eastAsia="en-US" w:bidi="ar-SA"/>
              </w:rPr>
            </w:pPr>
            <w:r>
              <w:rPr>
                <w:snapToGrid w:val="0"/>
                <w:kern w:val="28"/>
                <w:sz w:val="22"/>
                <w:szCs w:val="22"/>
                <w:lang w:val="en-US" w:eastAsia="en-US" w:bidi="ar-SA"/>
              </w:rPr>
              <w:t xml:space="preserve">Region 43- Washington State </w:t>
            </w:r>
          </w:p>
        </w:tc>
        <w:tc>
          <w:tcPr>
            <w:tcW w:w="2807" w:type="dxa"/>
            <w:tcBorders>
              <w:top w:val="single" w:sz="4" w:space="0" w:color="auto"/>
              <w:bottom w:val="single" w:sz="4" w:space="0" w:color="auto"/>
            </w:tcBorders>
            <w:vAlign w:val="center"/>
          </w:tcPr>
          <w:p w:rsidR="00F50BFC" w:rsidP="00765436">
            <w:pPr>
              <w:widowControl w:val="0"/>
              <w:jc w:val="center"/>
              <w:rPr>
                <w:rStyle w:val="DefaultParagraphFont"/>
                <w:snapToGrid w:val="0"/>
                <w:kern w:val="28"/>
                <w:sz w:val="22"/>
                <w:szCs w:val="22"/>
                <w:lang w:val="en-US" w:eastAsia="en-US" w:bidi="ar-SA"/>
              </w:rPr>
            </w:pPr>
            <w:r>
              <w:rPr>
                <w:snapToGrid w:val="0"/>
                <w:kern w:val="28"/>
                <w:sz w:val="22"/>
                <w:szCs w:val="22"/>
                <w:lang w:val="en-US" w:eastAsia="en-US" w:bidi="ar-SA"/>
              </w:rPr>
              <w:t>864.150</w:t>
            </w:r>
          </w:p>
        </w:tc>
      </w:tr>
      <w:tr w:rsidTr="00765436">
        <w:tblPrEx>
          <w:tblW w:w="0" w:type="auto"/>
          <w:tblInd w:w="0" w:type="dxa"/>
          <w:tblCellMar>
            <w:top w:w="0" w:type="dxa"/>
            <w:left w:w="108" w:type="dxa"/>
            <w:bottom w:w="0" w:type="dxa"/>
            <w:right w:w="108" w:type="dxa"/>
          </w:tblCellMar>
          <w:tblLook w:val="04A0"/>
        </w:tblPrEx>
        <w:trPr>
          <w:trHeight w:val="288"/>
        </w:trPr>
        <w:tc>
          <w:tcPr>
            <w:tcW w:w="1547" w:type="dxa"/>
            <w:vAlign w:val="center"/>
          </w:tcPr>
          <w:p w:rsidR="00F50BFC" w:rsidP="00765436">
            <w:pPr>
              <w:widowControl w:val="0"/>
              <w:jc w:val="center"/>
              <w:rPr>
                <w:rStyle w:val="DefaultParagraphFont"/>
                <w:snapToGrid w:val="0"/>
                <w:kern w:val="28"/>
                <w:sz w:val="22"/>
                <w:szCs w:val="22"/>
                <w:lang w:val="en-US" w:eastAsia="en-US" w:bidi="ar-SA"/>
              </w:rPr>
            </w:pPr>
            <w:r>
              <w:rPr>
                <w:snapToGrid w:val="0"/>
                <w:kern w:val="28"/>
                <w:sz w:val="22"/>
                <w:szCs w:val="22"/>
                <w:lang w:val="en-US" w:eastAsia="en-US" w:bidi="ar-SA"/>
              </w:rPr>
              <w:t>5</w:t>
            </w:r>
          </w:p>
        </w:tc>
        <w:tc>
          <w:tcPr>
            <w:tcW w:w="1624" w:type="dxa"/>
            <w:vAlign w:val="center"/>
          </w:tcPr>
          <w:p w:rsidR="00F50BFC" w:rsidP="00765436">
            <w:pPr>
              <w:widowControl w:val="0"/>
              <w:jc w:val="center"/>
              <w:rPr>
                <w:rStyle w:val="DefaultParagraphFont"/>
                <w:snapToGrid w:val="0"/>
                <w:kern w:val="28"/>
                <w:sz w:val="22"/>
                <w:szCs w:val="22"/>
                <w:lang w:val="en-US" w:eastAsia="en-US" w:bidi="ar-SA"/>
              </w:rPr>
            </w:pPr>
            <w:r>
              <w:rPr>
                <w:snapToGrid w:val="0"/>
                <w:kern w:val="28"/>
                <w:sz w:val="22"/>
                <w:szCs w:val="22"/>
                <w:lang w:val="en-US" w:eastAsia="en-US" w:bidi="ar-SA"/>
              </w:rPr>
              <w:t>0 – 140</w:t>
            </w:r>
          </w:p>
        </w:tc>
        <w:tc>
          <w:tcPr>
            <w:tcW w:w="3598" w:type="dxa"/>
            <w:tcBorders>
              <w:top w:val="single" w:sz="4" w:space="0" w:color="auto"/>
              <w:bottom w:val="single" w:sz="4" w:space="0" w:color="auto"/>
            </w:tcBorders>
          </w:tcPr>
          <w:p w:rsidR="00F50BFC" w:rsidP="00765436">
            <w:pPr>
              <w:widowControl w:val="0"/>
              <w:rPr>
                <w:rStyle w:val="DefaultParagraphFont"/>
                <w:snapToGrid w:val="0"/>
                <w:kern w:val="28"/>
                <w:sz w:val="22"/>
                <w:szCs w:val="22"/>
                <w:lang w:val="en-US" w:eastAsia="en-US" w:bidi="ar-SA"/>
              </w:rPr>
            </w:pPr>
            <w:r>
              <w:rPr>
                <w:snapToGrid w:val="0"/>
                <w:kern w:val="28"/>
                <w:sz w:val="22"/>
                <w:szCs w:val="22"/>
                <w:lang w:val="en-US" w:eastAsia="en-US" w:bidi="ar-SA"/>
              </w:rPr>
              <w:t>Region 43 – Washington State</w:t>
            </w:r>
          </w:p>
        </w:tc>
        <w:tc>
          <w:tcPr>
            <w:tcW w:w="2807" w:type="dxa"/>
            <w:tcBorders>
              <w:top w:val="single" w:sz="4" w:space="0" w:color="auto"/>
              <w:bottom w:val="single" w:sz="4" w:space="0" w:color="auto"/>
            </w:tcBorders>
            <w:vAlign w:val="center"/>
          </w:tcPr>
          <w:p w:rsidR="00F50BFC" w:rsidP="00765436">
            <w:pPr>
              <w:widowControl w:val="0"/>
              <w:jc w:val="center"/>
              <w:rPr>
                <w:rStyle w:val="DefaultParagraphFont"/>
                <w:snapToGrid w:val="0"/>
                <w:kern w:val="28"/>
                <w:sz w:val="22"/>
                <w:szCs w:val="22"/>
                <w:lang w:val="en-US" w:eastAsia="en-US" w:bidi="ar-SA"/>
              </w:rPr>
            </w:pPr>
            <w:r>
              <w:rPr>
                <w:snapToGrid w:val="0"/>
                <w:kern w:val="28"/>
                <w:sz w:val="22"/>
                <w:szCs w:val="22"/>
                <w:lang w:val="en-US" w:eastAsia="en-US" w:bidi="ar-SA"/>
              </w:rPr>
              <w:t>864.150</w:t>
            </w:r>
          </w:p>
        </w:tc>
      </w:tr>
      <w:tr w:rsidTr="00765436">
        <w:tblPrEx>
          <w:tblW w:w="0" w:type="auto"/>
          <w:tblInd w:w="0" w:type="dxa"/>
          <w:tblCellMar>
            <w:top w:w="0" w:type="dxa"/>
            <w:left w:w="108" w:type="dxa"/>
            <w:bottom w:w="0" w:type="dxa"/>
            <w:right w:w="108" w:type="dxa"/>
          </w:tblCellMar>
          <w:tblLook w:val="04A0"/>
        </w:tblPrEx>
        <w:trPr>
          <w:trHeight w:val="288"/>
        </w:trPr>
        <w:tc>
          <w:tcPr>
            <w:tcW w:w="1547" w:type="dxa"/>
            <w:vAlign w:val="center"/>
          </w:tcPr>
          <w:p w:rsidR="00F50BFC" w:rsidP="00765436">
            <w:pPr>
              <w:widowControl w:val="0"/>
              <w:jc w:val="center"/>
              <w:rPr>
                <w:rStyle w:val="DefaultParagraphFont"/>
                <w:snapToGrid w:val="0"/>
                <w:kern w:val="28"/>
                <w:sz w:val="22"/>
                <w:szCs w:val="22"/>
                <w:lang w:val="en-US" w:eastAsia="en-US" w:bidi="ar-SA"/>
              </w:rPr>
            </w:pPr>
            <w:r>
              <w:rPr>
                <w:snapToGrid w:val="0"/>
                <w:kern w:val="28"/>
                <w:sz w:val="22"/>
                <w:szCs w:val="22"/>
                <w:lang w:val="en-US" w:eastAsia="en-US" w:bidi="ar-SA"/>
              </w:rPr>
              <w:t>6</w:t>
            </w:r>
          </w:p>
        </w:tc>
        <w:tc>
          <w:tcPr>
            <w:tcW w:w="1624" w:type="dxa"/>
            <w:vAlign w:val="center"/>
          </w:tcPr>
          <w:p w:rsidR="00F50BFC" w:rsidP="00765436">
            <w:pPr>
              <w:widowControl w:val="0"/>
              <w:jc w:val="center"/>
              <w:rPr>
                <w:rStyle w:val="DefaultParagraphFont"/>
                <w:snapToGrid w:val="0"/>
                <w:kern w:val="28"/>
                <w:sz w:val="22"/>
                <w:szCs w:val="22"/>
                <w:lang w:val="en-US" w:eastAsia="en-US" w:bidi="ar-SA"/>
              </w:rPr>
            </w:pPr>
            <w:r>
              <w:rPr>
                <w:snapToGrid w:val="0"/>
                <w:kern w:val="28"/>
                <w:sz w:val="22"/>
                <w:szCs w:val="22"/>
                <w:lang w:val="en-US" w:eastAsia="en-US" w:bidi="ar-SA"/>
              </w:rPr>
              <w:t>0 – 100</w:t>
            </w:r>
          </w:p>
        </w:tc>
        <w:tc>
          <w:tcPr>
            <w:tcW w:w="3598" w:type="dxa"/>
            <w:tcBorders>
              <w:top w:val="single" w:sz="4" w:space="0" w:color="auto"/>
              <w:bottom w:val="single" w:sz="4" w:space="0" w:color="auto"/>
            </w:tcBorders>
          </w:tcPr>
          <w:p w:rsidR="00F50BFC" w:rsidP="00765436">
            <w:pPr>
              <w:widowControl w:val="0"/>
              <w:rPr>
                <w:rStyle w:val="DefaultParagraphFont"/>
                <w:snapToGrid w:val="0"/>
                <w:kern w:val="28"/>
                <w:sz w:val="22"/>
                <w:szCs w:val="22"/>
                <w:lang w:val="en-US" w:eastAsia="en-US" w:bidi="ar-SA"/>
              </w:rPr>
            </w:pPr>
            <w:r>
              <w:rPr>
                <w:snapToGrid w:val="0"/>
                <w:kern w:val="28"/>
                <w:sz w:val="22"/>
                <w:szCs w:val="22"/>
                <w:lang w:val="en-US" w:eastAsia="en-US" w:bidi="ar-SA"/>
              </w:rPr>
              <w:t>Region 2 – Alaska</w:t>
            </w:r>
          </w:p>
        </w:tc>
        <w:tc>
          <w:tcPr>
            <w:tcW w:w="2807" w:type="dxa"/>
            <w:tcBorders>
              <w:top w:val="single" w:sz="4" w:space="0" w:color="auto"/>
              <w:bottom w:val="single" w:sz="4" w:space="0" w:color="auto"/>
            </w:tcBorders>
            <w:vAlign w:val="center"/>
          </w:tcPr>
          <w:p w:rsidR="00F50BFC" w:rsidP="00765436">
            <w:pPr>
              <w:widowControl w:val="0"/>
              <w:jc w:val="center"/>
              <w:rPr>
                <w:rStyle w:val="DefaultParagraphFont"/>
                <w:snapToGrid w:val="0"/>
                <w:kern w:val="28"/>
                <w:sz w:val="22"/>
                <w:szCs w:val="22"/>
                <w:lang w:val="en-US" w:eastAsia="en-US" w:bidi="ar-SA"/>
              </w:rPr>
            </w:pPr>
            <w:r>
              <w:rPr>
                <w:snapToGrid w:val="0"/>
                <w:kern w:val="28"/>
                <w:sz w:val="22"/>
                <w:szCs w:val="22"/>
                <w:lang w:val="en-US" w:eastAsia="en-US" w:bidi="ar-SA"/>
              </w:rPr>
              <w:t>862.250</w:t>
            </w:r>
          </w:p>
        </w:tc>
      </w:tr>
    </w:tbl>
    <w:p w:rsidR="00F50BFC" w:rsidP="00F50BFC">
      <w:pPr>
        <w:ind w:left="720" w:hanging="360"/>
        <w:rPr>
          <w:szCs w:val="22"/>
        </w:rPr>
      </w:pPr>
      <w:r w:rsidRPr="0080473E">
        <w:rPr>
          <w:sz w:val="20"/>
        </w:rPr>
        <w:t xml:space="preserve">* </w:t>
      </w:r>
      <w:r>
        <w:rPr>
          <w:szCs w:val="22"/>
        </w:rPr>
        <w:tab/>
      </w:r>
      <w:r w:rsidRPr="0080473E">
        <w:rPr>
          <w:sz w:val="20"/>
        </w:rPr>
        <w:t xml:space="preserve">Dividing line reflects the frequency 12.5 kHz above the highest frequency occupied by a non-ESMR licensee except in </w:t>
      </w:r>
      <w:r>
        <w:rPr>
          <w:sz w:val="20"/>
        </w:rPr>
        <w:t>CBR 6 (</w:t>
      </w:r>
      <w:r w:rsidRPr="0080473E">
        <w:rPr>
          <w:sz w:val="20"/>
        </w:rPr>
        <w:t>Alaska</w:t>
      </w:r>
      <w:r>
        <w:rPr>
          <w:sz w:val="20"/>
        </w:rPr>
        <w:t>)</w:t>
      </w:r>
      <w:r w:rsidRPr="0080473E">
        <w:rPr>
          <w:sz w:val="20"/>
        </w:rPr>
        <w:t xml:space="preserve"> where the frequency is 12.5 kHz above highest Canada primary frequency.</w:t>
      </w:r>
      <w:r>
        <w:rPr>
          <w:szCs w:val="22"/>
        </w:rPr>
        <w:t xml:space="preserve">  </w:t>
      </w:r>
    </w:p>
    <w:p w:rsidR="006A1F49" w:rsidP="00D47505">
      <w:pPr>
        <w:spacing w:before="120" w:after="240"/>
        <w:rPr>
          <w:sz w:val="24"/>
        </w:rPr>
      </w:pPr>
    </w:p>
    <w:sectPr w:rsidSect="00DF0810">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code="1"/>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p w:rsidR="003660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783043">
      <w:rPr>
        <w:noProof/>
      </w:rPr>
      <w:t>2</w:t>
    </w:r>
    <w:r>
      <w:fldChar w:fldCharType="end"/>
    </w:r>
  </w:p>
  <w:p w:rsidR="003660ED" w:rsidP="000E05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C424B">
      <w:r>
        <w:separator/>
      </w:r>
    </w:p>
  </w:footnote>
  <w:footnote w:type="continuationSeparator" w:id="1">
    <w:p w:rsidR="00AC424B" w:rsidP="00C721AC">
      <w:pPr>
        <w:spacing w:before="120"/>
        <w:rPr>
          <w:sz w:val="20"/>
        </w:rPr>
      </w:pPr>
      <w:r>
        <w:rPr>
          <w:sz w:val="20"/>
        </w:rPr>
        <w:t xml:space="preserve">(Continued from previous page)  </w:t>
      </w:r>
      <w:r>
        <w:rPr>
          <w:sz w:val="20"/>
        </w:rPr>
        <w:separator/>
      </w:r>
    </w:p>
  </w:footnote>
  <w:footnote w:type="continuationNotice" w:id="2">
    <w:p w:rsidR="00AC424B" w:rsidP="00C721AC">
      <w:pPr>
        <w:jc w:val="right"/>
        <w:rPr>
          <w:sz w:val="20"/>
        </w:rPr>
      </w:pPr>
      <w:r>
        <w:rPr>
          <w:sz w:val="20"/>
        </w:rPr>
        <w:t>(continued….)</w:t>
      </w:r>
    </w:p>
  </w:footnote>
  <w:footnote w:id="3">
    <w:p w:rsidR="00F50BFC" w:rsidP="00F50BFC">
      <w:pPr>
        <w:pStyle w:val="FootnoteText"/>
      </w:pPr>
      <w:r>
        <w:rPr>
          <w:rStyle w:val="FootnoteReference"/>
        </w:rPr>
        <w:footnoteRef/>
      </w:r>
      <w:r>
        <w:t xml:space="preserve"> </w:t>
      </w:r>
      <w:r w:rsidRPr="00AA5ADB">
        <w:rPr>
          <w:i/>
        </w:rPr>
        <w:t>Public Safety and Homeland Security Bureau Accepts 800 MHz Transition Administrator’s Recommendation with Changes Proposed by Sprint for Establishing a Dividing Line for Enhanced Specialized Mobile Radio (ESMR) Systems in Canada Border Regions 1 Through 6</w:t>
      </w:r>
      <w:r>
        <w:t xml:space="preserve">, Public Notice, </w:t>
      </w:r>
      <w:r w:rsidRPr="00692F1F">
        <w:t>32 FCC Rcd 9448</w:t>
      </w:r>
      <w:r>
        <w:t xml:space="preserve"> (PSHSB 2017).</w:t>
      </w:r>
    </w:p>
  </w:footnote>
  <w:footnote w:id="4">
    <w:p w:rsidR="00F50BFC" w:rsidP="00F50BFC">
      <w:pPr>
        <w:pStyle w:val="FootnoteText"/>
      </w:pPr>
      <w:r>
        <w:rPr>
          <w:rStyle w:val="FootnoteReference"/>
        </w:rPr>
        <w:footnoteRef/>
      </w:r>
      <w:r>
        <w:t xml:space="preserve"> </w:t>
      </w:r>
      <w:r w:rsidRPr="00692F1F">
        <w:rPr>
          <w:i/>
        </w:rPr>
        <w:t>Id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30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30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pPr>
      <w:pStyle w:val="Header"/>
    </w:pP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v:textbox>
              <w10:wrap anchorx="margin"/>
            </v:shape>
          </w:pict>
        </mc:Fallback>
      </mc:AlternateContent>
    </w:r>
    <w:r w:rsidRPr="00B338A9" w:rsidR="00AF46DC">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002832"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D47505" w:rsidP="00B338A9">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7F413A">
                            <w:rPr>
                              <w:rFonts w:ascii="Arial" w:hAnsi="Arial"/>
                              <w:b/>
                              <w:sz w:val="16"/>
                            </w:rPr>
                            <w:instrText xml:space="preserve"> HYPERLINK "https://www.fcc.gov" </w:instrText>
                          </w:r>
                          <w:r w:rsidR="007F413A">
                            <w:rPr>
                              <w:rFonts w:ascii="Arial" w:hAnsi="Arial"/>
                              <w:b/>
                              <w:sz w:val="16"/>
                            </w:rPr>
                            <w:fldChar w:fldCharType="separate"/>
                          </w:r>
                          <w:r w:rsidRPr="00D216CD" w:rsidR="007F413A">
                            <w:rPr>
                              <w:rStyle w:val="Hyperlink"/>
                              <w:rFonts w:ascii="Arial" w:hAnsi="Arial"/>
                              <w:b/>
                              <w:sz w:val="16"/>
                            </w:rPr>
                            <w:t>h</w:t>
                          </w:r>
                          <w:bookmarkEnd w:id="2"/>
                          <w:r w:rsidRPr="00D216CD" w:rsidR="007F413A">
                            <w:rPr>
                              <w:rStyle w:val="Hyperlink"/>
                              <w:rFonts w:ascii="Arial" w:hAnsi="Arial"/>
                              <w:b/>
                              <w:sz w:val="16"/>
                            </w:rPr>
                            <w:t>ttps://www.fcc.gov</w:t>
                          </w:r>
                          <w:r w:rsidR="007F413A">
                            <w:rPr>
                              <w:rFonts w:ascii="Arial" w:hAnsi="Arial"/>
                              <w:b/>
                              <w:sz w:val="16"/>
                            </w:rPr>
                            <w:fldChar w:fldCharType="end"/>
                          </w:r>
                        </w:p>
                        <w:p w:rsidR="00D47505" w:rsidP="00B338A9">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7F413A">
                      <w:rPr>
                        <w:rFonts w:ascii="Arial" w:hAnsi="Arial"/>
                        <w:b/>
                        <w:sz w:val="16"/>
                      </w:rPr>
                      <w:instrText xml:space="preserve"> HYPERLINK "https://www.fcc.gov" </w:instrText>
                    </w:r>
                    <w:r w:rsidR="007F413A">
                      <w:rPr>
                        <w:rFonts w:ascii="Arial" w:hAnsi="Arial"/>
                        <w:b/>
                        <w:sz w:val="16"/>
                      </w:rPr>
                      <w:fldChar w:fldCharType="separate"/>
                    </w:r>
                    <w:r w:rsidRPr="00D216CD" w:rsidR="007F413A">
                      <w:rPr>
                        <w:rStyle w:val="Hyperlink"/>
                        <w:rFonts w:ascii="Arial" w:hAnsi="Arial"/>
                        <w:b/>
                        <w:sz w:val="16"/>
                      </w:rPr>
                      <w:t>h</w:t>
                    </w:r>
                    <w:bookmarkEnd w:id="2"/>
                    <w:r w:rsidRPr="00D216CD" w:rsidR="007F413A">
                      <w:rPr>
                        <w:rStyle w:val="Hyperlink"/>
                        <w:rFonts w:ascii="Arial" w:hAnsi="Arial"/>
                        <w:b/>
                        <w:sz w:val="16"/>
                      </w:rPr>
                      <w:t>ttps://www.fcc.gov</w:t>
                    </w:r>
                    <w:r w:rsidR="007F413A">
                      <w:rPr>
                        <w:rFonts w:ascii="Arial" w:hAnsi="Arial"/>
                        <w:b/>
                        <w:sz w:val="16"/>
                      </w:rPr>
                      <w:fldChar w:fldCharType="end"/>
                    </w:r>
                  </w:p>
                  <w:p w:rsidR="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875BF"/>
    <w:rsid w:val="00096D8C"/>
    <w:rsid w:val="000C0B65"/>
    <w:rsid w:val="000E05FE"/>
    <w:rsid w:val="000E3D42"/>
    <w:rsid w:val="00122BD5"/>
    <w:rsid w:val="00133F79"/>
    <w:rsid w:val="00144AB2"/>
    <w:rsid w:val="00177A7C"/>
    <w:rsid w:val="00194A66"/>
    <w:rsid w:val="001D6BCF"/>
    <w:rsid w:val="001E01CA"/>
    <w:rsid w:val="00275CF5"/>
    <w:rsid w:val="0028301F"/>
    <w:rsid w:val="00285017"/>
    <w:rsid w:val="002A2D2E"/>
    <w:rsid w:val="002C00E8"/>
    <w:rsid w:val="00343749"/>
    <w:rsid w:val="003660ED"/>
    <w:rsid w:val="003B0550"/>
    <w:rsid w:val="003B694F"/>
    <w:rsid w:val="003C6F5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9254A"/>
    <w:rsid w:val="00692F1F"/>
    <w:rsid w:val="006A1F49"/>
    <w:rsid w:val="006A6A81"/>
    <w:rsid w:val="006B1456"/>
    <w:rsid w:val="006D640C"/>
    <w:rsid w:val="006F7393"/>
    <w:rsid w:val="0070224F"/>
    <w:rsid w:val="007115F7"/>
    <w:rsid w:val="00765436"/>
    <w:rsid w:val="00783043"/>
    <w:rsid w:val="00785689"/>
    <w:rsid w:val="0079754B"/>
    <w:rsid w:val="007A1E6D"/>
    <w:rsid w:val="007B0EB2"/>
    <w:rsid w:val="007F413A"/>
    <w:rsid w:val="0080473E"/>
    <w:rsid w:val="00810B6F"/>
    <w:rsid w:val="00822CE0"/>
    <w:rsid w:val="00841AB1"/>
    <w:rsid w:val="008C68F1"/>
    <w:rsid w:val="00914A26"/>
    <w:rsid w:val="00921803"/>
    <w:rsid w:val="00926503"/>
    <w:rsid w:val="009547FC"/>
    <w:rsid w:val="009726D8"/>
    <w:rsid w:val="009F76DB"/>
    <w:rsid w:val="00A32C3B"/>
    <w:rsid w:val="00A45F4F"/>
    <w:rsid w:val="00A600A9"/>
    <w:rsid w:val="00AA55B7"/>
    <w:rsid w:val="00AA5ADB"/>
    <w:rsid w:val="00AA5B9E"/>
    <w:rsid w:val="00AB2407"/>
    <w:rsid w:val="00AB53DF"/>
    <w:rsid w:val="00AC424B"/>
    <w:rsid w:val="00AF46DC"/>
    <w:rsid w:val="00B07E5C"/>
    <w:rsid w:val="00B10B07"/>
    <w:rsid w:val="00B20363"/>
    <w:rsid w:val="00B338A9"/>
    <w:rsid w:val="00B679AB"/>
    <w:rsid w:val="00B76DB8"/>
    <w:rsid w:val="00B811F7"/>
    <w:rsid w:val="00BA5DC6"/>
    <w:rsid w:val="00BA6196"/>
    <w:rsid w:val="00BC6D8C"/>
    <w:rsid w:val="00C34006"/>
    <w:rsid w:val="00C426B1"/>
    <w:rsid w:val="00C66160"/>
    <w:rsid w:val="00C721AC"/>
    <w:rsid w:val="00C90D6A"/>
    <w:rsid w:val="00CA247E"/>
    <w:rsid w:val="00CC72B6"/>
    <w:rsid w:val="00CC776F"/>
    <w:rsid w:val="00D0218D"/>
    <w:rsid w:val="00D216CD"/>
    <w:rsid w:val="00D23CFC"/>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526F4"/>
    <w:rsid w:val="00E5409F"/>
    <w:rsid w:val="00EB4ACC"/>
    <w:rsid w:val="00EE6488"/>
    <w:rsid w:val="00F021FA"/>
    <w:rsid w:val="00F50BFC"/>
    <w:rsid w:val="00F62E97"/>
    <w:rsid w:val="00F64209"/>
    <w:rsid w:val="00F8591E"/>
    <w:rsid w:val="00F93BF5"/>
    <w:rsid w:val="00FE2C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Footnote Text Char Char Char Char Char Char,Footnote Text Char1,Footnote Text Char1 Char Char Char1 Char,Footnote Text Char2,Footnote Text Char2 Char Char1 Char,f,fn"/>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ootnote Text Char Char Char Char,Footnote Text Char Char Char1,Footnote Text Char1 Char,Footnote Text Char1 Char Char Char1 Char Char,Footnote Text Char2 Char,Footnote Text Char2 Char Char1 Char Char,f Char,fn Char"/>
    <w:link w:val="FootnoteText"/>
    <w:rsid w:val="00F50BFC"/>
  </w:style>
  <w:style w:type="table" w:styleId="TableGrid">
    <w:name w:val="Table Grid"/>
    <w:basedOn w:val="TableNormal"/>
    <w:rsid w:val="00F50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microsoft.com/office/2006/relationships/keyMapCustomizations" Target="customizations.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92AA2-B4CD-41F6-9A5F-E11134DFB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2018-02-21T20:54:37Z</dcterms:created>
  <dcterms:modified xsi:type="dcterms:W3CDTF">2018-02-21T20:54:37Z</dcterms:modified>
</cp:coreProperties>
</file>