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1058B4" w:rsidP="00FD431F" w14:paraId="4BC12678" w14:textId="77777777">
      <w:pPr>
        <w:spacing w:after="0"/>
        <w:jc w:val="center"/>
        <w:rPr>
          <w:b/>
        </w:rPr>
      </w:pPr>
      <w:bookmarkStart w:id="0" w:name="_GoBack"/>
      <w:bookmarkEnd w:id="0"/>
      <w:r w:rsidRPr="00AE480B">
        <w:rPr>
          <w:b/>
        </w:rPr>
        <w:t>STATEMENT OF</w:t>
      </w:r>
      <w:r w:rsidRPr="00AE480B">
        <w:rPr>
          <w:b/>
        </w:rPr>
        <w:br/>
        <w:t>CHAIRMAN AJIT PAI</w:t>
      </w:r>
    </w:p>
    <w:p w:rsidR="00FD431F" w:rsidRPr="00AE480B" w:rsidP="00FD431F" w14:paraId="7FE51232" w14:textId="77777777">
      <w:pPr>
        <w:spacing w:after="0"/>
        <w:jc w:val="center"/>
        <w:rPr>
          <w:b/>
        </w:rPr>
      </w:pPr>
    </w:p>
    <w:p w:rsidR="001058B4" w:rsidP="00FD431F" w14:paraId="4BEDB351" w14:textId="3E7B8F40">
      <w:pPr>
        <w:spacing w:after="0"/>
        <w:ind w:left="720" w:hanging="720"/>
      </w:pPr>
      <w:r w:rsidRPr="00AE480B">
        <w:t>Re:</w:t>
      </w:r>
      <w:r w:rsidRPr="00AE480B">
        <w:tab/>
      </w:r>
      <w:r w:rsidR="00EF212A">
        <w:rPr>
          <w:i/>
        </w:rPr>
        <w:t>Spectrum Horizons</w:t>
      </w:r>
      <w:r>
        <w:t xml:space="preserve">, </w:t>
      </w:r>
      <w:r w:rsidR="00EF212A">
        <w:t>ET</w:t>
      </w:r>
      <w:r>
        <w:t xml:space="preserve"> Docket No. 18</w:t>
      </w:r>
      <w:r w:rsidRPr="00AE480B">
        <w:t>-</w:t>
      </w:r>
      <w:r w:rsidR="00EF212A">
        <w:t>21</w:t>
      </w:r>
    </w:p>
    <w:p w:rsidR="00FD431F" w:rsidRPr="00AE480B" w:rsidP="00FD431F" w14:paraId="11F7F4AA" w14:textId="77777777">
      <w:pPr>
        <w:spacing w:after="0"/>
        <w:ind w:left="720" w:hanging="720"/>
      </w:pPr>
    </w:p>
    <w:p w:rsidR="002078ED" w:rsidP="00FD431F" w14:paraId="79050F93" w14:textId="2F400B37">
      <w:pPr>
        <w:spacing w:after="0"/>
        <w:ind w:firstLine="720"/>
      </w:pPr>
      <w:r>
        <w:t xml:space="preserve">In our </w:t>
      </w:r>
      <w:r w:rsidRPr="008B1294">
        <w:rPr>
          <w:i/>
        </w:rPr>
        <w:t>Spectrum Frontiers</w:t>
      </w:r>
      <w:r>
        <w:t xml:space="preserve"> proceeding, the </w:t>
      </w:r>
      <w:r w:rsidR="00733CA3">
        <w:t>FCC</w:t>
      </w:r>
      <w:r>
        <w:t xml:space="preserve"> has been busy working to make high-band spectrum </w:t>
      </w:r>
      <w:r w:rsidR="00EB6CC2">
        <w:t>between 24 GHz and 95 GHz</w:t>
      </w:r>
      <w:r>
        <w:t xml:space="preserve"> available for commercial use.  </w:t>
      </w:r>
      <w:r w:rsidR="00FF28BE">
        <w:t>But if the United States is to remain the world leader in wireless technologies, we can’t play it safe.  That’s why it’s time for us to look beyond the frontier and up to the horizon.</w:t>
      </w:r>
    </w:p>
    <w:p w:rsidR="00FD431F" w:rsidP="00FD431F" w14:paraId="7071D1D5" w14:textId="77777777">
      <w:pPr>
        <w:spacing w:after="0"/>
        <w:ind w:firstLine="720"/>
      </w:pPr>
    </w:p>
    <w:p w:rsidR="00FF28BE" w:rsidP="00FD431F" w14:paraId="523382D9" w14:textId="73D8CC05">
      <w:pPr>
        <w:spacing w:after="0"/>
        <w:ind w:firstLine="720"/>
      </w:pPr>
      <w:r>
        <w:t>With this action, w</w:t>
      </w:r>
      <w:r w:rsidR="006F62C3">
        <w:t>e</w:t>
      </w:r>
      <w:r w:rsidR="00A06DAE">
        <w:t>’</w:t>
      </w:r>
      <w:r>
        <w:t xml:space="preserve">re </w:t>
      </w:r>
      <w:r w:rsidR="006F62C3">
        <w:t>seek</w:t>
      </w:r>
      <w:r>
        <w:t>ing</w:t>
      </w:r>
      <w:r w:rsidR="006F62C3">
        <w:t xml:space="preserve"> to unleash new wireless services and technologies in frequencies above 95 GHz.</w:t>
      </w:r>
      <w:r>
        <w:t xml:space="preserve">  Now, I realize that some are skeptical that this spectrum can be used productively.  But the skeptics have been proven wrong before.</w:t>
      </w:r>
      <w:r w:rsidR="00B6353E">
        <w:t xml:space="preserve">  </w:t>
      </w:r>
      <w:r w:rsidR="00FA672A">
        <w:t xml:space="preserve">In this </w:t>
      </w:r>
      <w:r w:rsidR="008D5A7F">
        <w:t>decade</w:t>
      </w:r>
      <w:r w:rsidR="00A06DAE">
        <w:t>,</w:t>
      </w:r>
      <w:r w:rsidR="00B6353E">
        <w:t xml:space="preserve"> </w:t>
      </w:r>
      <w:r w:rsidR="00A06DAE">
        <w:t xml:space="preserve">some </w:t>
      </w:r>
      <w:r w:rsidR="00B6353E">
        <w:t>sa</w:t>
      </w:r>
      <w:r w:rsidR="00A06DAE">
        <w:t>id</w:t>
      </w:r>
      <w:r w:rsidR="00B6353E">
        <w:t xml:space="preserve"> that spectrum above 3 GHz wasn</w:t>
      </w:r>
      <w:r w:rsidR="00A06DAE">
        <w:t>’</w:t>
      </w:r>
      <w:r w:rsidR="00B6353E">
        <w:t xml:space="preserve">t </w:t>
      </w:r>
      <w:r w:rsidR="00A06DAE">
        <w:t xml:space="preserve">really useful for </w:t>
      </w:r>
      <w:r w:rsidR="00B6353E">
        <w:t xml:space="preserve">mobile communications.  </w:t>
      </w:r>
      <w:r w:rsidR="00EA5B77">
        <w:t>Yet t</w:t>
      </w:r>
      <w:r w:rsidR="00B6353E">
        <w:t xml:space="preserve">oday, </w:t>
      </w:r>
      <w:r w:rsidR="00EA5B77">
        <w:t xml:space="preserve">mid-band spectrum is ripe for </w:t>
      </w:r>
      <w:r w:rsidR="0059551D">
        <w:t xml:space="preserve">Commission </w:t>
      </w:r>
      <w:r w:rsidR="00EA5B77">
        <w:t>consideration</w:t>
      </w:r>
      <w:r w:rsidR="00FA672A">
        <w:t>—</w:t>
      </w:r>
      <w:r w:rsidR="00EA5B77">
        <w:t xml:space="preserve">both </w:t>
      </w:r>
      <w:r w:rsidR="004F581D">
        <w:t xml:space="preserve">because </w:t>
      </w:r>
      <w:r w:rsidR="00EA5B77">
        <w:t xml:space="preserve">technology has advanced and </w:t>
      </w:r>
      <w:r w:rsidR="004F581D">
        <w:t xml:space="preserve">the demand </w:t>
      </w:r>
      <w:r w:rsidR="00EA5B77">
        <w:t xml:space="preserve">for mobile broadband </w:t>
      </w:r>
      <w:r w:rsidR="004F581D">
        <w:t>is insatiable</w:t>
      </w:r>
      <w:r w:rsidR="0059551D">
        <w:t xml:space="preserve">.  </w:t>
      </w:r>
      <w:r w:rsidR="004F581D">
        <w:t>And</w:t>
      </w:r>
      <w:r w:rsidR="00B6353E">
        <w:t xml:space="preserve"> </w:t>
      </w:r>
      <w:r w:rsidR="00EA5B77">
        <w:t xml:space="preserve">spectrum licenses above 24 GHz are </w:t>
      </w:r>
      <w:r w:rsidR="00A83059">
        <w:t xml:space="preserve">already </w:t>
      </w:r>
      <w:r w:rsidR="00EA5B77">
        <w:t>drawing multi-</w:t>
      </w:r>
      <w:r w:rsidR="0059551D">
        <w:t xml:space="preserve">billion dollar </w:t>
      </w:r>
      <w:r w:rsidR="00EA5B77">
        <w:t>attention from the private sector</w:t>
      </w:r>
      <w:r w:rsidR="008D5A7F">
        <w:t xml:space="preserve"> on the secondary market</w:t>
      </w:r>
      <w:r w:rsidR="00B6353E">
        <w:t>.</w:t>
      </w:r>
    </w:p>
    <w:p w:rsidR="00FD431F" w:rsidP="00FD431F" w14:paraId="598BBB6F" w14:textId="77777777">
      <w:pPr>
        <w:spacing w:after="0"/>
        <w:ind w:firstLine="720"/>
      </w:pPr>
    </w:p>
    <w:p w:rsidR="00E207CD" w:rsidP="00FD431F" w14:paraId="1D2F8FD5" w14:textId="711901E2">
      <w:pPr>
        <w:spacing w:after="0"/>
        <w:ind w:firstLine="720"/>
      </w:pPr>
      <w:r>
        <w:t>The point is that we must be open</w:t>
      </w:r>
      <w:r w:rsidR="00733CA3">
        <w:t xml:space="preserve"> </w:t>
      </w:r>
      <w:r w:rsidR="007B7B15">
        <w:t xml:space="preserve">to </w:t>
      </w:r>
      <w:r>
        <w:t xml:space="preserve">new </w:t>
      </w:r>
      <w:r w:rsidR="00733CA3">
        <w:t>technolog</w:t>
      </w:r>
      <w:r>
        <w:t>ies</w:t>
      </w:r>
      <w:r w:rsidR="00733CA3">
        <w:t xml:space="preserve"> </w:t>
      </w:r>
      <w:r>
        <w:t>that haven’t even been developed</w:t>
      </w:r>
      <w:r w:rsidR="00733CA3">
        <w:t xml:space="preserve">.  And </w:t>
      </w:r>
      <w:r w:rsidR="00AF2D83">
        <w:t xml:space="preserve">while </w:t>
      </w:r>
      <w:r w:rsidR="00733CA3">
        <w:t>we don’t know precisely how far the laws of physics will permit us to go</w:t>
      </w:r>
      <w:r w:rsidR="00AF2D83">
        <w:t xml:space="preserve">, </w:t>
      </w:r>
      <w:r w:rsidR="00733CA3">
        <w:t>we do know there’s potential</w:t>
      </w:r>
      <w:r w:rsidR="007B7B15">
        <w:t xml:space="preserve"> and interest</w:t>
      </w:r>
      <w:r w:rsidR="00733CA3">
        <w:t xml:space="preserve">.  </w:t>
      </w:r>
      <w:r w:rsidR="007B7B15">
        <w:t xml:space="preserve">Engineers </w:t>
      </w:r>
      <w:r w:rsidR="00267403">
        <w:t>an</w:t>
      </w:r>
      <w:r w:rsidR="00E1294C">
        <w:t xml:space="preserve">d entrepreneurs </w:t>
      </w:r>
      <w:r w:rsidR="007B7B15">
        <w:t xml:space="preserve">need to have </w:t>
      </w:r>
      <w:r w:rsidR="00733CA3">
        <w:t xml:space="preserve">the ability to </w:t>
      </w:r>
      <w:r w:rsidR="00E1294C">
        <w:t>push the envelope</w:t>
      </w:r>
      <w:r w:rsidR="00733CA3">
        <w:t>.</w:t>
      </w:r>
      <w:r w:rsidR="00267403">
        <w:t xml:space="preserve">  </w:t>
      </w:r>
    </w:p>
    <w:p w:rsidR="00AF7CA9" w:rsidP="00FD431F" w14:paraId="44AD9F6B" w14:textId="4FB569B1">
      <w:pPr>
        <w:spacing w:after="0"/>
        <w:ind w:firstLine="720"/>
      </w:pPr>
      <w:r>
        <w:t xml:space="preserve">That’s why </w:t>
      </w:r>
      <w:r w:rsidR="00344B77">
        <w:t>we</w:t>
      </w:r>
      <w:r w:rsidR="00733CA3">
        <w:t>’</w:t>
      </w:r>
      <w:r>
        <w:t>re</w:t>
      </w:r>
      <w:r w:rsidR="00344B77">
        <w:t xml:space="preserve"> propos</w:t>
      </w:r>
      <w:r>
        <w:t>ing</w:t>
      </w:r>
      <w:r w:rsidR="00344B77">
        <w:t xml:space="preserve"> </w:t>
      </w:r>
      <w:r w:rsidR="00AF7B24">
        <w:t xml:space="preserve">options </w:t>
      </w:r>
      <w:r w:rsidR="00B04316">
        <w:t>for licensed services, unlicensed operations, and a new class of experimental licenses</w:t>
      </w:r>
      <w:r w:rsidR="00E847FF">
        <w:t xml:space="preserve"> above 95 GHz</w:t>
      </w:r>
      <w:r>
        <w:t xml:space="preserve">.  </w:t>
      </w:r>
      <w:r w:rsidR="00BD4455">
        <w:t xml:space="preserve">This </w:t>
      </w:r>
      <w:r w:rsidR="00566C63">
        <w:t>all-of-the-above approach</w:t>
      </w:r>
      <w:r w:rsidR="00BD4455">
        <w:t xml:space="preserve"> will </w:t>
      </w:r>
      <w:r w:rsidR="00733CA3">
        <w:t>promo</w:t>
      </w:r>
      <w:r>
        <w:t>te innovation</w:t>
      </w:r>
      <w:r w:rsidR="00344B77">
        <w:t xml:space="preserve"> and</w:t>
      </w:r>
      <w:r w:rsidR="00BD4455">
        <w:t xml:space="preserve"> </w:t>
      </w:r>
      <w:r>
        <w:t xml:space="preserve">help </w:t>
      </w:r>
      <w:r w:rsidR="00BD4455">
        <w:t>put this spectrum to its best use</w:t>
      </w:r>
      <w:r w:rsidR="00566C63">
        <w:t xml:space="preserve">. </w:t>
      </w:r>
      <w:r w:rsidR="00BD4455">
        <w:t xml:space="preserve"> </w:t>
      </w:r>
      <w:r w:rsidR="00AF7B24">
        <w:t xml:space="preserve"> </w:t>
      </w:r>
    </w:p>
    <w:p w:rsidR="00FD431F" w:rsidP="00FD431F" w14:paraId="60A27042" w14:textId="77777777">
      <w:pPr>
        <w:spacing w:after="0"/>
        <w:ind w:firstLine="720"/>
      </w:pPr>
    </w:p>
    <w:p w:rsidR="001058B4" w:rsidRPr="00344B77" w:rsidP="00FD431F" w14:paraId="53C998D2" w14:textId="77777777">
      <w:pPr>
        <w:spacing w:after="0"/>
        <w:ind w:firstLine="720"/>
        <w:rPr>
          <w:rFonts w:cs="Times New Roman"/>
        </w:rPr>
      </w:pPr>
      <w:r w:rsidRPr="009746EF">
        <w:rPr>
          <w:rFonts w:cs="Times New Roman"/>
        </w:rPr>
        <w:t xml:space="preserve">Many thanks go to the staff who worked on this item.  In particular, thanks to </w:t>
      </w:r>
      <w:r w:rsidRPr="00344B77" w:rsidR="00344B77">
        <w:rPr>
          <w:rFonts w:cs="Times New Roman"/>
        </w:rPr>
        <w:t>Bahman Badipour</w:t>
      </w:r>
      <w:r w:rsidR="00344B77">
        <w:rPr>
          <w:rFonts w:cs="Times New Roman"/>
        </w:rPr>
        <w:t xml:space="preserve">, </w:t>
      </w:r>
      <w:r w:rsidRPr="00344B77" w:rsidR="00344B77">
        <w:rPr>
          <w:rFonts w:cs="Times New Roman"/>
        </w:rPr>
        <w:t>Chad Beattie</w:t>
      </w:r>
      <w:r w:rsidR="00344B77">
        <w:rPr>
          <w:rFonts w:cs="Times New Roman"/>
        </w:rPr>
        <w:t xml:space="preserve">, </w:t>
      </w:r>
      <w:r w:rsidRPr="00344B77" w:rsidR="00344B77">
        <w:rPr>
          <w:rFonts w:cs="Times New Roman"/>
        </w:rPr>
        <w:t>Brian Butler</w:t>
      </w:r>
      <w:r w:rsidR="00344B77">
        <w:rPr>
          <w:rFonts w:cs="Times New Roman"/>
        </w:rPr>
        <w:t xml:space="preserve">, </w:t>
      </w:r>
      <w:r w:rsidRPr="00344B77" w:rsidR="00344B77">
        <w:rPr>
          <w:rFonts w:cs="Times New Roman"/>
        </w:rPr>
        <w:t>Martin Doczkat</w:t>
      </w:r>
      <w:r w:rsidR="00344B77">
        <w:rPr>
          <w:rFonts w:cs="Times New Roman"/>
        </w:rPr>
        <w:t xml:space="preserve">, </w:t>
      </w:r>
      <w:r w:rsidRPr="00344B77" w:rsidR="00344B77">
        <w:rPr>
          <w:rFonts w:cs="Times New Roman"/>
        </w:rPr>
        <w:t>Michael Ha</w:t>
      </w:r>
      <w:r w:rsidR="00344B77">
        <w:rPr>
          <w:rFonts w:cs="Times New Roman"/>
        </w:rPr>
        <w:t xml:space="preserve">, </w:t>
      </w:r>
      <w:r w:rsidRPr="00344B77" w:rsidR="00344B77">
        <w:rPr>
          <w:rFonts w:cs="Times New Roman"/>
        </w:rPr>
        <w:t>Bill Hurst</w:t>
      </w:r>
      <w:r w:rsidR="00344B77">
        <w:rPr>
          <w:rFonts w:cs="Times New Roman"/>
        </w:rPr>
        <w:t xml:space="preserve">, </w:t>
      </w:r>
      <w:r w:rsidRPr="00344B77" w:rsidR="00344B77">
        <w:rPr>
          <w:rFonts w:cs="Times New Roman"/>
        </w:rPr>
        <w:t>Walter Johnston</w:t>
      </w:r>
      <w:r w:rsidR="00344B77">
        <w:rPr>
          <w:rFonts w:cs="Times New Roman"/>
        </w:rPr>
        <w:t xml:space="preserve">, Julie Knapp, </w:t>
      </w:r>
      <w:r w:rsidRPr="00344B77" w:rsidR="00344B77">
        <w:rPr>
          <w:rFonts w:cs="Times New Roman"/>
        </w:rPr>
        <w:t>Ed Mantiply</w:t>
      </w:r>
      <w:r w:rsidR="00344B77">
        <w:rPr>
          <w:rFonts w:cs="Times New Roman"/>
        </w:rPr>
        <w:t xml:space="preserve">, </w:t>
      </w:r>
      <w:r w:rsidRPr="00344B77" w:rsidR="00344B77">
        <w:rPr>
          <w:rFonts w:cs="Times New Roman"/>
        </w:rPr>
        <w:t>Nick Oros</w:t>
      </w:r>
      <w:r w:rsidR="00344B77">
        <w:rPr>
          <w:rFonts w:cs="Times New Roman"/>
        </w:rPr>
        <w:t xml:space="preserve">, </w:t>
      </w:r>
      <w:r w:rsidRPr="00344B77" w:rsidR="00344B77">
        <w:rPr>
          <w:rFonts w:cs="Times New Roman"/>
        </w:rPr>
        <w:t>Jamison Prime</w:t>
      </w:r>
      <w:r w:rsidR="00344B77">
        <w:rPr>
          <w:rFonts w:cs="Times New Roman"/>
        </w:rPr>
        <w:t xml:space="preserve">, </w:t>
      </w:r>
      <w:r w:rsidRPr="00344B77" w:rsidR="00344B77">
        <w:rPr>
          <w:rFonts w:cs="Times New Roman"/>
        </w:rPr>
        <w:t>Karen Rackley</w:t>
      </w:r>
      <w:r w:rsidR="00344B77">
        <w:rPr>
          <w:rFonts w:cs="Times New Roman"/>
        </w:rPr>
        <w:t xml:space="preserve">, </w:t>
      </w:r>
      <w:r w:rsidRPr="00344B77" w:rsidR="00344B77">
        <w:rPr>
          <w:rFonts w:cs="Times New Roman"/>
        </w:rPr>
        <w:t>Rodney Small</w:t>
      </w:r>
      <w:r w:rsidR="00344B77">
        <w:rPr>
          <w:rFonts w:cs="Times New Roman"/>
        </w:rPr>
        <w:t xml:space="preserve">, and </w:t>
      </w:r>
      <w:r w:rsidRPr="00344B77" w:rsidR="00344B77">
        <w:rPr>
          <w:rFonts w:cs="Times New Roman"/>
        </w:rPr>
        <w:t>Hugh VanTuyl</w:t>
      </w:r>
      <w:r w:rsidR="00344B77">
        <w:rPr>
          <w:rFonts w:cs="Times New Roman"/>
        </w:rPr>
        <w:t xml:space="preserve"> from the Office of Engineering and Technology; </w:t>
      </w:r>
      <w:r w:rsidRPr="00344B77" w:rsidR="00344B77">
        <w:rPr>
          <w:rFonts w:cs="Times New Roman"/>
        </w:rPr>
        <w:t>Matthew Pearl</w:t>
      </w:r>
      <w:r w:rsidR="00344B77">
        <w:rPr>
          <w:rFonts w:cs="Times New Roman"/>
        </w:rPr>
        <w:t xml:space="preserve">, </w:t>
      </w:r>
      <w:r w:rsidRPr="00344B77" w:rsidR="00344B77">
        <w:rPr>
          <w:rFonts w:cs="Times New Roman"/>
        </w:rPr>
        <w:t>John Schauble</w:t>
      </w:r>
      <w:r w:rsidR="00344B77">
        <w:rPr>
          <w:rFonts w:cs="Times New Roman"/>
        </w:rPr>
        <w:t xml:space="preserve">, </w:t>
      </w:r>
      <w:r w:rsidRPr="00344B77" w:rsidR="00344B77">
        <w:rPr>
          <w:rFonts w:cs="Times New Roman"/>
        </w:rPr>
        <w:t>Blaise Scinto</w:t>
      </w:r>
      <w:r w:rsidR="00344B77">
        <w:rPr>
          <w:rFonts w:cs="Times New Roman"/>
        </w:rPr>
        <w:t xml:space="preserve">, and </w:t>
      </w:r>
      <w:r w:rsidRPr="00344B77" w:rsidR="00344B77">
        <w:rPr>
          <w:rFonts w:cs="Times New Roman"/>
        </w:rPr>
        <w:t>Joel Taubenblatt</w:t>
      </w:r>
      <w:r w:rsidR="00344B77">
        <w:rPr>
          <w:rFonts w:cs="Times New Roman"/>
        </w:rPr>
        <w:t xml:space="preserve"> from the Wireless Telecommunications Bureau; </w:t>
      </w:r>
      <w:r w:rsidRPr="00344B77" w:rsidR="00344B77">
        <w:rPr>
          <w:rFonts w:cs="Times New Roman"/>
        </w:rPr>
        <w:t>Jose Albuquerque</w:t>
      </w:r>
      <w:r w:rsidR="00344B77">
        <w:rPr>
          <w:rFonts w:cs="Times New Roman"/>
        </w:rPr>
        <w:t xml:space="preserve">, </w:t>
      </w:r>
      <w:r w:rsidRPr="00344B77" w:rsidR="00344B77">
        <w:rPr>
          <w:rFonts w:cs="Times New Roman"/>
        </w:rPr>
        <w:t>Chip Fleming</w:t>
      </w:r>
      <w:r w:rsidR="00344B77">
        <w:rPr>
          <w:rFonts w:cs="Times New Roman"/>
        </w:rPr>
        <w:t xml:space="preserve">, and </w:t>
      </w:r>
      <w:r w:rsidRPr="00344B77" w:rsidR="00344B77">
        <w:rPr>
          <w:rFonts w:cs="Times New Roman"/>
        </w:rPr>
        <w:t>Bob Nelson</w:t>
      </w:r>
      <w:r w:rsidR="00344B77">
        <w:rPr>
          <w:rFonts w:cs="Times New Roman"/>
        </w:rPr>
        <w:t xml:space="preserve"> from the International Bureau; </w:t>
      </w:r>
      <w:r w:rsidRPr="00344B77" w:rsidR="00344B77">
        <w:rPr>
          <w:rFonts w:cs="Times New Roman"/>
        </w:rPr>
        <w:t>Jeremy Marcus</w:t>
      </w:r>
      <w:r w:rsidR="00344B77">
        <w:rPr>
          <w:rFonts w:cs="Times New Roman"/>
        </w:rPr>
        <w:t xml:space="preserve"> from the Enforcement Bureau; and </w:t>
      </w:r>
      <w:r w:rsidRPr="00344B77" w:rsidR="00344B77">
        <w:rPr>
          <w:rFonts w:cs="Times New Roman"/>
        </w:rPr>
        <w:t>Deborah Broderson</w:t>
      </w:r>
      <w:r w:rsidR="00344B77">
        <w:rPr>
          <w:rFonts w:cs="Times New Roman"/>
        </w:rPr>
        <w:t xml:space="preserve"> from the Office of General Counsel.</w:t>
      </w:r>
    </w:p>
    <w:sectPr w:rsidSect="00D6650B">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6C66" w14:paraId="37A562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6C66" w14:paraId="5A873DD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6C66" w14:paraId="2C834FEE"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6C66" w14:paraId="1947E43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6C66" w14:paraId="04C774A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6C66" w14:paraId="0873B538"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C3C"/>
    <w:rsid w:val="00060C9F"/>
    <w:rsid w:val="00062192"/>
    <w:rsid w:val="001058B4"/>
    <w:rsid w:val="00106C66"/>
    <w:rsid w:val="00106E1B"/>
    <w:rsid w:val="001245A2"/>
    <w:rsid w:val="00154DFC"/>
    <w:rsid w:val="001729FA"/>
    <w:rsid w:val="0017542D"/>
    <w:rsid w:val="001A2525"/>
    <w:rsid w:val="001B47C8"/>
    <w:rsid w:val="001E0704"/>
    <w:rsid w:val="001F113F"/>
    <w:rsid w:val="002078ED"/>
    <w:rsid w:val="00233E11"/>
    <w:rsid w:val="00267403"/>
    <w:rsid w:val="002970CC"/>
    <w:rsid w:val="002B1C03"/>
    <w:rsid w:val="002C35B6"/>
    <w:rsid w:val="002F33F3"/>
    <w:rsid w:val="00302327"/>
    <w:rsid w:val="00344B77"/>
    <w:rsid w:val="003764A5"/>
    <w:rsid w:val="003A6455"/>
    <w:rsid w:val="003D585D"/>
    <w:rsid w:val="00405AF1"/>
    <w:rsid w:val="004269DB"/>
    <w:rsid w:val="004805AC"/>
    <w:rsid w:val="004F581D"/>
    <w:rsid w:val="005010E9"/>
    <w:rsid w:val="00536210"/>
    <w:rsid w:val="0054335B"/>
    <w:rsid w:val="00566C63"/>
    <w:rsid w:val="0059551D"/>
    <w:rsid w:val="005C0960"/>
    <w:rsid w:val="00641E03"/>
    <w:rsid w:val="006E7EB4"/>
    <w:rsid w:val="006F62C3"/>
    <w:rsid w:val="007050C9"/>
    <w:rsid w:val="00733CA3"/>
    <w:rsid w:val="0078178E"/>
    <w:rsid w:val="007B3248"/>
    <w:rsid w:val="007B7B15"/>
    <w:rsid w:val="007C4E8B"/>
    <w:rsid w:val="007E7B1D"/>
    <w:rsid w:val="007F70CE"/>
    <w:rsid w:val="0082179B"/>
    <w:rsid w:val="0088265A"/>
    <w:rsid w:val="008A47F2"/>
    <w:rsid w:val="008B1294"/>
    <w:rsid w:val="008D5A7F"/>
    <w:rsid w:val="008E4AF6"/>
    <w:rsid w:val="00972BED"/>
    <w:rsid w:val="009746EF"/>
    <w:rsid w:val="00A06DAE"/>
    <w:rsid w:val="00A17152"/>
    <w:rsid w:val="00A31CD6"/>
    <w:rsid w:val="00A57C2C"/>
    <w:rsid w:val="00A63B1C"/>
    <w:rsid w:val="00A83059"/>
    <w:rsid w:val="00A969E8"/>
    <w:rsid w:val="00AD6585"/>
    <w:rsid w:val="00AE480B"/>
    <w:rsid w:val="00AF062F"/>
    <w:rsid w:val="00AF2D83"/>
    <w:rsid w:val="00AF7B24"/>
    <w:rsid w:val="00AF7CA9"/>
    <w:rsid w:val="00B04316"/>
    <w:rsid w:val="00B23831"/>
    <w:rsid w:val="00B25D26"/>
    <w:rsid w:val="00B35241"/>
    <w:rsid w:val="00B6353E"/>
    <w:rsid w:val="00B91D5B"/>
    <w:rsid w:val="00B93582"/>
    <w:rsid w:val="00BA184B"/>
    <w:rsid w:val="00BA7E57"/>
    <w:rsid w:val="00BC71B3"/>
    <w:rsid w:val="00BD4455"/>
    <w:rsid w:val="00BD4804"/>
    <w:rsid w:val="00BD5D21"/>
    <w:rsid w:val="00BE7280"/>
    <w:rsid w:val="00C0218F"/>
    <w:rsid w:val="00CC1104"/>
    <w:rsid w:val="00D37DFE"/>
    <w:rsid w:val="00D6650B"/>
    <w:rsid w:val="00D97CC9"/>
    <w:rsid w:val="00DB6590"/>
    <w:rsid w:val="00DD2E30"/>
    <w:rsid w:val="00DF4C1F"/>
    <w:rsid w:val="00E1294C"/>
    <w:rsid w:val="00E17994"/>
    <w:rsid w:val="00E207CD"/>
    <w:rsid w:val="00E452BD"/>
    <w:rsid w:val="00E847FF"/>
    <w:rsid w:val="00EA235B"/>
    <w:rsid w:val="00EA5B77"/>
    <w:rsid w:val="00EB6CC2"/>
    <w:rsid w:val="00EC1B8D"/>
    <w:rsid w:val="00EF212A"/>
    <w:rsid w:val="00F27DAE"/>
    <w:rsid w:val="00F30C3C"/>
    <w:rsid w:val="00F52A5C"/>
    <w:rsid w:val="00F80FDB"/>
    <w:rsid w:val="00F9154F"/>
    <w:rsid w:val="00FA1B9A"/>
    <w:rsid w:val="00FA3686"/>
    <w:rsid w:val="00FA672A"/>
    <w:rsid w:val="00FA7ACD"/>
    <w:rsid w:val="00FD431F"/>
    <w:rsid w:val="00FF28BE"/>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50B"/>
    <w:pPr>
      <w:spacing w:after="120" w:line="240" w:lineRule="auto"/>
    </w:pPr>
    <w:rPr>
      <w:rFonts w:ascii="Times New Roman" w:hAnsi="Times New Roman"/>
    </w:rPr>
  </w:style>
  <w:style w:type="paragraph" w:styleId="Heading1">
    <w:name w:val="heading 1"/>
    <w:basedOn w:val="Normal"/>
    <w:link w:val="Heading1Char"/>
    <w:uiPriority w:val="9"/>
    <w:qFormat/>
    <w:rsid w:val="001058B4"/>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0B"/>
    <w:pPr>
      <w:tabs>
        <w:tab w:val="center" w:pos="4680"/>
        <w:tab w:val="right" w:pos="9360"/>
      </w:tabs>
      <w:spacing w:after="0"/>
    </w:pPr>
  </w:style>
  <w:style w:type="character" w:customStyle="1" w:styleId="HeaderChar">
    <w:name w:val="Header Char"/>
    <w:basedOn w:val="DefaultParagraphFont"/>
    <w:link w:val="Header"/>
    <w:uiPriority w:val="99"/>
    <w:rsid w:val="00D6650B"/>
    <w:rPr>
      <w:rFonts w:ascii="Times New Roman" w:hAnsi="Times New Roman"/>
    </w:rPr>
  </w:style>
  <w:style w:type="paragraph" w:styleId="Footer">
    <w:name w:val="footer"/>
    <w:basedOn w:val="Normal"/>
    <w:link w:val="FooterChar"/>
    <w:uiPriority w:val="99"/>
    <w:unhideWhenUsed/>
    <w:rsid w:val="00D6650B"/>
    <w:pPr>
      <w:tabs>
        <w:tab w:val="center" w:pos="4680"/>
        <w:tab w:val="right" w:pos="9360"/>
      </w:tabs>
      <w:spacing w:after="0"/>
    </w:pPr>
  </w:style>
  <w:style w:type="character" w:customStyle="1" w:styleId="FooterChar">
    <w:name w:val="Footer Char"/>
    <w:basedOn w:val="DefaultParagraphFont"/>
    <w:link w:val="Footer"/>
    <w:uiPriority w:val="99"/>
    <w:rsid w:val="00D6650B"/>
    <w:rPr>
      <w:rFonts w:ascii="Times New Roman" w:hAnsi="Times New Roman"/>
    </w:rPr>
  </w:style>
  <w:style w:type="paragraph" w:styleId="FootnoteText">
    <w:name w:val="footnote text"/>
    <w:basedOn w:val="Normal"/>
    <w:link w:val="FootnoteTextChar"/>
    <w:uiPriority w:val="99"/>
    <w:unhideWhenUsed/>
    <w:rsid w:val="00D6650B"/>
    <w:rPr>
      <w:sz w:val="20"/>
      <w:szCs w:val="20"/>
    </w:rPr>
  </w:style>
  <w:style w:type="character" w:customStyle="1" w:styleId="FootnoteTextChar">
    <w:name w:val="Footnote Text Char"/>
    <w:basedOn w:val="DefaultParagraphFont"/>
    <w:link w:val="FootnoteText"/>
    <w:uiPriority w:val="99"/>
    <w:rsid w:val="00D6650B"/>
    <w:rPr>
      <w:rFonts w:ascii="Times New Roman" w:hAnsi="Times New Roman"/>
      <w:sz w:val="20"/>
      <w:szCs w:val="20"/>
    </w:rPr>
  </w:style>
  <w:style w:type="character" w:styleId="FootnoteReference">
    <w:name w:val="footnote reference"/>
    <w:basedOn w:val="DefaultParagraphFont"/>
    <w:uiPriority w:val="99"/>
    <w:unhideWhenUsed/>
    <w:rsid w:val="00D6650B"/>
    <w:rPr>
      <w:vertAlign w:val="superscript"/>
    </w:rPr>
  </w:style>
  <w:style w:type="character" w:customStyle="1" w:styleId="Heading1Char">
    <w:name w:val="Heading 1 Char"/>
    <w:basedOn w:val="DefaultParagraphFont"/>
    <w:link w:val="Heading1"/>
    <w:uiPriority w:val="9"/>
    <w:rsid w:val="001058B4"/>
    <w:rPr>
      <w:rFonts w:ascii="Times" w:hAnsi="Times"/>
      <w:b/>
      <w:bCs/>
      <w:kern w:val="36"/>
      <w:sz w:val="48"/>
      <w:szCs w:val="48"/>
    </w:rPr>
  </w:style>
  <w:style w:type="paragraph" w:styleId="BalloonText">
    <w:name w:val="Balloon Text"/>
    <w:basedOn w:val="Normal"/>
    <w:link w:val="BalloonTextChar"/>
    <w:uiPriority w:val="99"/>
    <w:semiHidden/>
    <w:unhideWhenUsed/>
    <w:rsid w:val="00733CA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CA3"/>
    <w:rPr>
      <w:rFonts w:ascii="Segoe UI" w:hAnsi="Segoe UI" w:cs="Segoe UI"/>
      <w:sz w:val="18"/>
      <w:szCs w:val="18"/>
    </w:rPr>
  </w:style>
  <w:style w:type="character" w:styleId="CommentReference">
    <w:name w:val="annotation reference"/>
    <w:basedOn w:val="DefaultParagraphFont"/>
    <w:uiPriority w:val="99"/>
    <w:semiHidden/>
    <w:unhideWhenUsed/>
    <w:rsid w:val="008B1294"/>
    <w:rPr>
      <w:sz w:val="16"/>
      <w:szCs w:val="16"/>
    </w:rPr>
  </w:style>
  <w:style w:type="paragraph" w:styleId="CommentText">
    <w:name w:val="annotation text"/>
    <w:basedOn w:val="Normal"/>
    <w:link w:val="CommentTextChar"/>
    <w:uiPriority w:val="99"/>
    <w:semiHidden/>
    <w:unhideWhenUsed/>
    <w:rsid w:val="008B1294"/>
    <w:rPr>
      <w:sz w:val="20"/>
      <w:szCs w:val="20"/>
    </w:rPr>
  </w:style>
  <w:style w:type="character" w:customStyle="1" w:styleId="CommentTextChar">
    <w:name w:val="Comment Text Char"/>
    <w:basedOn w:val="DefaultParagraphFont"/>
    <w:link w:val="CommentText"/>
    <w:uiPriority w:val="99"/>
    <w:semiHidden/>
    <w:rsid w:val="008B129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B1294"/>
    <w:rPr>
      <w:b/>
      <w:bCs/>
    </w:rPr>
  </w:style>
  <w:style w:type="character" w:customStyle="1" w:styleId="CommentSubjectChar">
    <w:name w:val="Comment Subject Char"/>
    <w:basedOn w:val="CommentTextChar"/>
    <w:link w:val="CommentSubject"/>
    <w:uiPriority w:val="99"/>
    <w:semiHidden/>
    <w:rsid w:val="008B1294"/>
    <w:rPr>
      <w:rFonts w:ascii="Times New Roman" w:hAnsi="Times New Roman"/>
      <w:b/>
      <w:bCs/>
      <w:sz w:val="20"/>
      <w:szCs w:val="20"/>
    </w:rPr>
  </w:style>
  <w:style w:type="character" w:styleId="Hyperlink">
    <w:name w:val="Hyperlink"/>
    <w:basedOn w:val="DefaultParagraphFont"/>
    <w:uiPriority w:val="99"/>
    <w:unhideWhenUsed/>
    <w:rsid w:val="00B6353E"/>
    <w:rPr>
      <w:color w:val="0563C1" w:themeColor="hyperlink"/>
      <w:u w:val="single"/>
    </w:rPr>
  </w:style>
  <w:style w:type="character" w:customStyle="1" w:styleId="UnresolvedMention1">
    <w:name w:val="Unresolved Mention1"/>
    <w:basedOn w:val="DefaultParagraphFont"/>
    <w:uiPriority w:val="99"/>
    <w:semiHidden/>
    <w:unhideWhenUsed/>
    <w:rsid w:val="00B6353E"/>
    <w:rPr>
      <w:color w:val="808080"/>
      <w:shd w:val="clear" w:color="auto" w:fill="E6E6E6"/>
    </w:rPr>
  </w:style>
  <w:style w:type="character" w:styleId="FollowedHyperlink">
    <w:name w:val="FollowedHyperlink"/>
    <w:basedOn w:val="DefaultParagraphFont"/>
    <w:uiPriority w:val="99"/>
    <w:semiHidden/>
    <w:unhideWhenUsed/>
    <w:rsid w:val="00EA5B77"/>
    <w:rPr>
      <w:color w:val="954F72" w:themeColor="followedHyperlink"/>
      <w:u w:val="single"/>
    </w:rPr>
  </w:style>
  <w:style w:type="paragraph" w:styleId="Revision">
    <w:name w:val="Revision"/>
    <w:hidden/>
    <w:uiPriority w:val="99"/>
    <w:semiHidden/>
    <w:rsid w:val="00EA5B77"/>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236564-3563-4327-A46C-C9D382ED9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2018-02-22T22:37:29Z</dcterms:created>
  <dcterms:modified xsi:type="dcterms:W3CDTF">2018-02-22T22:37:29Z</dcterms:modified>
</cp:coreProperties>
</file>