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Hlk507421241"/>
            <w:bookmarkStart w:id="1" w:name="_GoBack"/>
            <w:bookmarkEnd w:id="1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430131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 Pelkey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="00A00006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0536</w:t>
            </w:r>
          </w:p>
          <w:p w:rsidR="00FF232D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="00A00006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pelkey</w:t>
            </w:r>
            <w:r w:rsidR="00A00006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A00006" w:rsidP="00A00006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bookmarkStart w:id="2" w:name="_Hlk507408148"/>
          </w:p>
          <w:p w:rsidR="00A00006" w:rsidP="00A00006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CHAIRMAN PA</w:t>
            </w:r>
            <w:r w:rsidR="00F1095B">
              <w:rPr>
                <w:b/>
                <w:bCs/>
                <w:sz w:val="26"/>
                <w:szCs w:val="26"/>
                <w:lang w:val="en-US" w:eastAsia="en-US" w:bidi="ar-SA"/>
              </w:rPr>
              <w:t>I S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TATEMENT ON </w:t>
            </w:r>
            <w:r w:rsidR="00E2294F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NINTH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CIRCUIT DECISION REGARDING FTC AUTHORITY TO REGULATE INTERNET SERVICE PROVIDERS</w:t>
            </w:r>
          </w:p>
          <w:p w:rsidR="00A00006" w:rsidRPr="008A3940" w:rsidP="00A00006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WASHINGTON</w:t>
            </w:r>
            <w:r w:rsidRPr="00C532BF">
              <w:rPr>
                <w:sz w:val="22"/>
                <w:szCs w:val="22"/>
                <w:lang w:val="en-US" w:eastAsia="en-US" w:bidi="ar-SA"/>
              </w:rPr>
              <w:t>, February 2</w:t>
            </w:r>
            <w:r>
              <w:rPr>
                <w:sz w:val="22"/>
                <w:szCs w:val="22"/>
                <w:lang w:val="en-US" w:eastAsia="en-US" w:bidi="ar-SA"/>
              </w:rPr>
              <w:t>6</w:t>
            </w:r>
            <w:r w:rsidRPr="00C532BF">
              <w:rPr>
                <w:sz w:val="22"/>
                <w:szCs w:val="22"/>
                <w:lang w:val="en-US" w:eastAsia="en-US" w:bidi="ar-SA"/>
              </w:rPr>
              <w:t>, 2018—</w:t>
            </w:r>
            <w:r w:rsidRPr="00C30B8C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>
              <w:rPr>
                <w:sz w:val="22"/>
                <w:szCs w:val="22"/>
                <w:lang w:val="en-US" w:eastAsia="en-US" w:bidi="ar-SA"/>
              </w:rPr>
              <w:t xml:space="preserve">Chairman Ajit Pai </w:t>
            </w:r>
            <w:r w:rsidRPr="00C30B8C">
              <w:rPr>
                <w:sz w:val="22"/>
                <w:szCs w:val="22"/>
                <w:lang w:val="en-US" w:eastAsia="en-US" w:bidi="ar-SA"/>
              </w:rPr>
              <w:t xml:space="preserve">today </w:t>
            </w:r>
            <w:r>
              <w:rPr>
                <w:sz w:val="22"/>
                <w:szCs w:val="22"/>
                <w:lang w:val="en-US" w:eastAsia="en-US" w:bidi="ar-SA"/>
              </w:rPr>
              <w:t xml:space="preserve">issued the following statement on </w:t>
            </w:r>
            <w:r w:rsidR="00E2294F">
              <w:rPr>
                <w:sz w:val="22"/>
                <w:szCs w:val="22"/>
                <w:lang w:val="en-US" w:eastAsia="en-US" w:bidi="ar-SA"/>
              </w:rPr>
              <w:t xml:space="preserve">today’s decision of </w:t>
            </w:r>
            <w:r>
              <w:rPr>
                <w:sz w:val="22"/>
                <w:szCs w:val="22"/>
                <w:lang w:val="en-US" w:eastAsia="en-US" w:bidi="ar-SA"/>
              </w:rPr>
              <w:t>the United States Court of Appeals for the Ninth Circuit (</w:t>
            </w:r>
            <w:r w:rsidRPr="00A3112A">
              <w:rPr>
                <w:i/>
                <w:sz w:val="22"/>
                <w:szCs w:val="22"/>
                <w:lang w:val="en-US" w:eastAsia="en-US" w:bidi="ar-SA"/>
              </w:rPr>
              <w:t>Federal Trade Commission v. AT&amp;T Mobility</w:t>
            </w:r>
            <w:r>
              <w:rPr>
                <w:sz w:val="22"/>
                <w:szCs w:val="22"/>
                <w:lang w:val="en-US" w:eastAsia="en-US" w:bidi="ar-SA"/>
              </w:rPr>
              <w:t xml:space="preserve">) reaffirming </w:t>
            </w:r>
            <w:r w:rsidR="00E2294F">
              <w:rPr>
                <w:sz w:val="22"/>
                <w:szCs w:val="22"/>
                <w:lang w:val="en-US" w:eastAsia="en-US" w:bidi="ar-SA"/>
              </w:rPr>
              <w:t>the FTC’s</w:t>
            </w:r>
            <w:r>
              <w:rPr>
                <w:sz w:val="22"/>
                <w:szCs w:val="22"/>
                <w:lang w:val="en-US" w:eastAsia="en-US" w:bidi="ar-SA"/>
              </w:rPr>
              <w:t xml:space="preserve"> authority over the </w:t>
            </w:r>
            <w:r w:rsidR="00E2294F">
              <w:rPr>
                <w:sz w:val="22"/>
                <w:szCs w:val="22"/>
                <w:lang w:val="en-US" w:eastAsia="en-US" w:bidi="ar-SA"/>
              </w:rPr>
              <w:t xml:space="preserve">non-common carrier </w:t>
            </w:r>
            <w:r>
              <w:rPr>
                <w:sz w:val="22"/>
                <w:szCs w:val="22"/>
                <w:lang w:val="en-US" w:eastAsia="en-US" w:bidi="ar-SA"/>
              </w:rPr>
              <w:t xml:space="preserve">activities </w:t>
            </w:r>
            <w:r w:rsidR="00E2294F">
              <w:rPr>
                <w:sz w:val="22"/>
                <w:szCs w:val="22"/>
                <w:lang w:val="en-US" w:eastAsia="en-US" w:bidi="ar-SA"/>
              </w:rPr>
              <w:t>of common carriers</w:t>
            </w:r>
            <w:r w:rsidR="008E11B7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A00006" w:rsidP="00A00006">
            <w:pPr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E2294F">
              <w:rPr>
                <w:sz w:val="22"/>
                <w:szCs w:val="22"/>
                <w:lang w:val="en-US" w:eastAsia="en-US" w:bidi="ar-SA"/>
              </w:rPr>
              <w:t>The Ninth Circuit’s decision is a significant win for American consumers.  Among other things, it reaffirms that the Federal Trade Commission will once again be able to police Internet service providers</w:t>
            </w:r>
            <w:r w:rsidR="008E11B7">
              <w:rPr>
                <w:sz w:val="22"/>
                <w:szCs w:val="22"/>
                <w:lang w:val="en-US" w:eastAsia="en-US" w:bidi="ar-SA"/>
              </w:rPr>
              <w:t xml:space="preserve"> after the </w:t>
            </w:r>
            <w:r w:rsidRPr="008E11B7" w:rsidR="008E11B7">
              <w:rPr>
                <w:i/>
                <w:sz w:val="22"/>
                <w:szCs w:val="22"/>
                <w:lang w:val="en-US" w:eastAsia="en-US" w:bidi="ar-SA"/>
              </w:rPr>
              <w:t>Restoring Internet Freedom Order</w:t>
            </w:r>
            <w:r w:rsidR="008E11B7">
              <w:rPr>
                <w:sz w:val="22"/>
                <w:szCs w:val="22"/>
                <w:lang w:val="en-US" w:eastAsia="en-US" w:bidi="ar-SA"/>
              </w:rPr>
              <w:t xml:space="preserve"> takes effect</w:t>
            </w:r>
            <w:r>
              <w:rPr>
                <w:sz w:val="22"/>
                <w:szCs w:val="22"/>
                <w:lang w:val="en-US" w:eastAsia="en-US" w:bidi="ar-SA"/>
              </w:rPr>
              <w:t>,” said FCC Chairman Pai.</w:t>
            </w:r>
            <w:r w:rsidR="008E11B7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 “</w:t>
            </w:r>
            <w:r w:rsidR="00E2294F">
              <w:rPr>
                <w:sz w:val="22"/>
                <w:szCs w:val="22"/>
                <w:lang w:val="en-US" w:eastAsia="en-US" w:bidi="ar-SA"/>
              </w:rPr>
              <w:t>In the months and years ahead, w</w:t>
            </w:r>
            <w:r>
              <w:rPr>
                <w:sz w:val="22"/>
                <w:szCs w:val="22"/>
                <w:lang w:val="en-US" w:eastAsia="en-US" w:bidi="ar-SA"/>
              </w:rPr>
              <w:t>e look forward to working closely with the FTC to ensure</w:t>
            </w:r>
            <w:r w:rsidR="00E2294F">
              <w:rPr>
                <w:sz w:val="22"/>
                <w:szCs w:val="22"/>
                <w:lang w:val="en-US" w:eastAsia="en-US" w:bidi="ar-SA"/>
              </w:rPr>
              <w:t xml:space="preserve">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protection of a free and open Internet</w:t>
            </w:r>
            <w:r w:rsidR="008E11B7">
              <w:rPr>
                <w:sz w:val="22"/>
                <w:szCs w:val="22"/>
                <w:lang w:val="en-US" w:eastAsia="en-US" w:bidi="ar-SA"/>
              </w:rPr>
              <w:t>.”</w:t>
            </w: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65F6C">
              <w:rPr>
                <w:sz w:val="22"/>
                <w:szCs w:val="22"/>
                <w:lang w:val="en-US" w:eastAsia="en-US" w:bidi="ar-SA"/>
              </w:rPr>
              <w:t xml:space="preserve">The FCC’s </w:t>
            </w:r>
            <w:r w:rsidRPr="00A65F6C">
              <w:rPr>
                <w:i/>
                <w:sz w:val="22"/>
                <w:szCs w:val="22"/>
                <w:lang w:val="en-US" w:eastAsia="en-US" w:bidi="ar-SA"/>
              </w:rPr>
              <w:t xml:space="preserve">Restoring Internet Freedom </w:t>
            </w:r>
            <w:r>
              <w:rPr>
                <w:i/>
                <w:sz w:val="22"/>
                <w:szCs w:val="22"/>
                <w:lang w:val="en-US" w:eastAsia="en-US" w:bidi="ar-SA"/>
              </w:rPr>
              <w:t>Order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>reverse</w:t>
            </w:r>
            <w:r>
              <w:rPr>
                <w:sz w:val="22"/>
                <w:szCs w:val="22"/>
                <w:lang w:val="en-US" w:eastAsia="en-US" w:bidi="ar-SA"/>
              </w:rPr>
              <w:t>d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 a 2015 agency decision to reclassify broadband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Internet access service as a Title II common carrier service. </w:t>
            </w:r>
            <w:r w:rsidR="00F1095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This </w:t>
            </w:r>
            <w:r w:rsidR="00E2294F">
              <w:rPr>
                <w:sz w:val="22"/>
                <w:szCs w:val="22"/>
                <w:lang w:val="en-US" w:eastAsia="en-US" w:bidi="ar-SA"/>
              </w:rPr>
              <w:t>2015</w:t>
            </w:r>
            <w:r w:rsidRPr="00A65F6C" w:rsidR="00E2294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>decision stripped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FTC of its </w:t>
            </w:r>
            <w:r>
              <w:rPr>
                <w:sz w:val="22"/>
                <w:szCs w:val="22"/>
                <w:lang w:val="en-US" w:eastAsia="en-US" w:bidi="ar-SA"/>
              </w:rPr>
              <w:t xml:space="preserve">traditional </w:t>
            </w:r>
            <w:r w:rsidRPr="00A65F6C">
              <w:rPr>
                <w:sz w:val="22"/>
                <w:szCs w:val="22"/>
                <w:lang w:val="en-US" w:eastAsia="en-US" w:bidi="ar-SA"/>
              </w:rPr>
              <w:t>authority to protect consumers and promote competition with respect to Internet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>service providers because the FTC does not have jurisdiction over common</w:t>
            </w:r>
            <w:r w:rsidR="008E11B7">
              <w:rPr>
                <w:sz w:val="22"/>
                <w:szCs w:val="22"/>
                <w:lang w:val="en-US" w:eastAsia="en-US" w:bidi="ar-SA"/>
              </w:rPr>
              <w:t>-</w:t>
            </w:r>
            <w:r w:rsidRPr="00A65F6C">
              <w:rPr>
                <w:sz w:val="22"/>
                <w:szCs w:val="22"/>
                <w:lang w:val="en-US" w:eastAsia="en-US" w:bidi="ar-SA"/>
              </w:rPr>
              <w:t>carrier activities.</w:t>
            </w:r>
          </w:p>
          <w:p w:rsidR="00A00006" w:rsidRPr="00A65F6C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65F6C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8E11B7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 w:rsidRPr="00A65F6C">
              <w:rPr>
                <w:i/>
                <w:sz w:val="22"/>
                <w:szCs w:val="22"/>
                <w:lang w:val="en-US" w:eastAsia="en-US" w:bidi="ar-SA"/>
              </w:rPr>
              <w:t>Restoring Internet Freedom Order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2294F">
              <w:rPr>
                <w:sz w:val="22"/>
                <w:szCs w:val="22"/>
                <w:lang w:val="en-US" w:eastAsia="en-US" w:bidi="ar-SA"/>
              </w:rPr>
              <w:t>restores the FTC’s jurisdiction</w:t>
            </w:r>
            <w:r>
              <w:rPr>
                <w:sz w:val="22"/>
                <w:szCs w:val="22"/>
                <w:lang w:val="en-US" w:eastAsia="en-US" w:bidi="ar-SA"/>
              </w:rPr>
              <w:t xml:space="preserve"> to police the </w:t>
            </w:r>
            <w:r w:rsidRPr="00A65F6C">
              <w:rPr>
                <w:sz w:val="22"/>
                <w:szCs w:val="22"/>
                <w:lang w:val="en-US" w:eastAsia="en-US" w:bidi="ar-SA"/>
              </w:rPr>
              <w:t>conduct of ISPs, including their privacy practices.</w:t>
            </w:r>
            <w:r w:rsidR="00F1095B">
              <w:rPr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sz w:val="22"/>
                <w:szCs w:val="22"/>
                <w:lang w:val="en-US" w:eastAsia="en-US" w:bidi="ar-SA"/>
              </w:rPr>
              <w:t>The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 order </w:t>
            </w:r>
            <w:r w:rsidR="00E2294F"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 w:rsidRPr="00A65F6C">
              <w:rPr>
                <w:sz w:val="22"/>
                <w:szCs w:val="22"/>
                <w:lang w:val="en-US" w:eastAsia="en-US" w:bidi="ar-SA"/>
              </w:rPr>
              <w:t>require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 Internet service providers to disclose their network management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 xml:space="preserve">practices, performance, and commercial terms of service. </w:t>
            </w:r>
            <w:r w:rsidR="008E11B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>As the nation’s top consumer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>protection agency, the FTC will be responsible for holding these providers to the promises they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65F6C">
              <w:rPr>
                <w:sz w:val="22"/>
                <w:szCs w:val="22"/>
                <w:lang w:val="en-US" w:eastAsia="en-US" w:bidi="ar-SA"/>
              </w:rPr>
              <w:t>make to consumers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00006" w:rsidP="00A0000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In December 2017, the FCC and FTC announced their intent to enter into a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"https://apps.fcc.gov/edocs_public/attachmatch/DOC-348191A1.pdf" </w:instrText>
            </w:r>
            <w:r>
              <w:fldChar w:fldCharType="separate"/>
            </w:r>
            <w:r w:rsidRPr="00A65F6C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Memorandum of Understanding</w:t>
            </w:r>
            <w:r>
              <w:fldChar w:fldCharType="end"/>
            </w:r>
            <w:r>
              <w:rPr>
                <w:sz w:val="22"/>
                <w:szCs w:val="22"/>
                <w:lang w:val="en-US" w:eastAsia="en-US" w:bidi="ar-SA"/>
              </w:rPr>
              <w:t xml:space="preserve"> under which the two agencies would coordinate online consumer protection efforts.</w:t>
            </w: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bookmarkEnd w:id="2"/>
          </w:p>
          <w:p w:rsidR="004F0F1F" w:rsidRPr="00A7077E" w:rsidP="00A15DAD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7077E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6B0A70" w:rsidP="00A15DAD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A7077E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A15DAD" w:rsidP="00A15DAD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ASL Videophone: (</w:t>
            </w: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844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) </w:t>
            </w: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A15DAD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A15DAD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A15DA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A15DAD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A15DAD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29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7A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06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D27BC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1D0D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7895"/>
    <w:rsid w:val="002A0934"/>
    <w:rsid w:val="002B1013"/>
    <w:rsid w:val="002D03E5"/>
    <w:rsid w:val="002E3F1D"/>
    <w:rsid w:val="002F31D0"/>
    <w:rsid w:val="00300359"/>
    <w:rsid w:val="0031773E"/>
    <w:rsid w:val="00345700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2A4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376A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55A4"/>
    <w:rsid w:val="008C6840"/>
    <w:rsid w:val="008C7BF1"/>
    <w:rsid w:val="008D00D6"/>
    <w:rsid w:val="008D4D00"/>
    <w:rsid w:val="008D4E5E"/>
    <w:rsid w:val="008D7ABD"/>
    <w:rsid w:val="008E11B7"/>
    <w:rsid w:val="008E55A2"/>
    <w:rsid w:val="008F1609"/>
    <w:rsid w:val="008F78D8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0006"/>
    <w:rsid w:val="00A015B7"/>
    <w:rsid w:val="00A15DAD"/>
    <w:rsid w:val="00A3112A"/>
    <w:rsid w:val="00A35DFD"/>
    <w:rsid w:val="00A65F6C"/>
    <w:rsid w:val="00A702DF"/>
    <w:rsid w:val="00A7077E"/>
    <w:rsid w:val="00A74AB7"/>
    <w:rsid w:val="00A775A3"/>
    <w:rsid w:val="00A77947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30B8C"/>
    <w:rsid w:val="00C432E4"/>
    <w:rsid w:val="00C532BF"/>
    <w:rsid w:val="00C70C26"/>
    <w:rsid w:val="00C72001"/>
    <w:rsid w:val="00C772B7"/>
    <w:rsid w:val="00C80347"/>
    <w:rsid w:val="00CB67A2"/>
    <w:rsid w:val="00CB7C1A"/>
    <w:rsid w:val="00CC5E08"/>
    <w:rsid w:val="00CE14FD"/>
    <w:rsid w:val="00CE446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294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095B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00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7A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3457-60D9-444D-90A7-BFF0130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2018-02-26T20:24:41Z</dcterms:created>
  <dcterms:modified xsi:type="dcterms:W3CDTF">2018-02-26T20:24:41Z</dcterms:modified>
</cp:coreProperties>
</file>