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9422863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B7AF72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2" name="Picture 2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96463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8E0314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51190310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9F6A8B" w:rsidRPr="008A3940" w:rsidP="009F6A8B" w14:paraId="33768AD0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9F6A8B" w:rsidRPr="008A3940" w:rsidP="009F6A8B" w14:paraId="65B82DD8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53EB476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04200A1A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5C303154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CC5E08" w:rsidP="00C30B8C" w14:paraId="3FE151F6" w14:textId="55C1F780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ANNOUNCES </w:t>
            </w:r>
            <w:r w:rsidR="00447257">
              <w:rPr>
                <w:b/>
                <w:bCs/>
                <w:sz w:val="26"/>
                <w:szCs w:val="26"/>
                <w:lang w:val="en-US" w:eastAsia="en-US" w:bidi="ar-SA"/>
              </w:rPr>
              <w:t>PAYMENT OF</w:t>
            </w:r>
            <w:r w:rsidR="0073028C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OVER</w:t>
            </w:r>
            <w:r w:rsidR="0044725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$600 MILLION BY STRAIGHT PATH</w:t>
            </w:r>
            <w:r w:rsidR="00A00A1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73028C">
              <w:rPr>
                <w:b/>
                <w:bCs/>
                <w:sz w:val="26"/>
                <w:szCs w:val="26"/>
                <w:lang w:val="en-US" w:eastAsia="en-US" w:bidi="ar-SA"/>
              </w:rPr>
              <w:t>&amp;</w:t>
            </w:r>
            <w:r w:rsidR="00A00A1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VERIZON</w:t>
            </w:r>
            <w:r w:rsidR="0044725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TO </w:t>
            </w:r>
            <w:r w:rsidR="006254D5">
              <w:rPr>
                <w:b/>
                <w:bCs/>
                <w:sz w:val="26"/>
                <w:szCs w:val="26"/>
                <w:lang w:val="en-US" w:eastAsia="en-US" w:bidi="ar-SA"/>
              </w:rPr>
              <w:t>SATISFY SETTLEMENT TERMS</w:t>
            </w:r>
          </w:p>
          <w:p w:rsidR="00447257" w:rsidRPr="008A3940" w:rsidP="00C30B8C" w14:paraId="42121A2B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A965AB" w:rsidRPr="00C30B8C" w:rsidP="00FD7D91" w14:paraId="6E7DAE23" w14:textId="550D26E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7A0BA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7A0BA0" w:rsidR="007A0BA0">
              <w:rPr>
                <w:sz w:val="22"/>
                <w:szCs w:val="22"/>
                <w:lang w:val="en-US" w:eastAsia="en-US" w:bidi="ar-SA"/>
              </w:rPr>
              <w:t>February 28</w:t>
            </w:r>
            <w:r w:rsidRPr="007A0BA0" w:rsidR="00447257">
              <w:rPr>
                <w:sz w:val="22"/>
                <w:szCs w:val="22"/>
                <w:lang w:val="en-US" w:eastAsia="en-US" w:bidi="ar-SA"/>
              </w:rPr>
              <w:t>, 2018</w:t>
            </w:r>
            <w:r w:rsidRPr="007A0BA0" w:rsidR="00D861EE">
              <w:rPr>
                <w:sz w:val="22"/>
                <w:szCs w:val="22"/>
                <w:lang w:val="en-US" w:eastAsia="en-US" w:bidi="ar-SA"/>
              </w:rPr>
              <w:t>—</w:t>
            </w:r>
            <w:bookmarkStart w:id="1" w:name="_Hlk506987290"/>
            <w:r w:rsidRPr="007A0BA0" w:rsidR="000E049E">
              <w:rPr>
                <w:sz w:val="22"/>
                <w:szCs w:val="22"/>
                <w:lang w:val="en-US" w:eastAsia="en-US" w:bidi="ar-SA"/>
              </w:rPr>
              <w:t>The</w:t>
            </w:r>
            <w:r w:rsidRPr="00C30B8C" w:rsidR="000E049E">
              <w:rPr>
                <w:sz w:val="22"/>
                <w:szCs w:val="22"/>
                <w:lang w:val="en-US" w:eastAsia="en-US" w:bidi="ar-SA"/>
              </w:rPr>
              <w:t xml:space="preserve"> Federal Communications Commission today</w:t>
            </w:r>
            <w:r w:rsidRPr="00C30B8C"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30B8C">
              <w:rPr>
                <w:sz w:val="22"/>
                <w:szCs w:val="22"/>
                <w:lang w:val="en-US" w:eastAsia="en-US" w:bidi="ar-SA"/>
              </w:rPr>
              <w:t xml:space="preserve">announced </w:t>
            </w:r>
            <w:r w:rsidR="00447257">
              <w:rPr>
                <w:sz w:val="22"/>
                <w:szCs w:val="22"/>
                <w:lang w:val="en-US" w:eastAsia="en-US" w:bidi="ar-SA"/>
              </w:rPr>
              <w:t xml:space="preserve">that </w:t>
            </w:r>
            <w:r w:rsidRPr="00447257" w:rsidR="00447257">
              <w:rPr>
                <w:sz w:val="22"/>
                <w:szCs w:val="22"/>
                <w:lang w:val="en-US" w:eastAsia="en-US" w:bidi="ar-SA"/>
              </w:rPr>
              <w:t>Straight Path Communications</w:t>
            </w:r>
            <w:r w:rsidR="00447257">
              <w:rPr>
                <w:sz w:val="22"/>
                <w:szCs w:val="22"/>
                <w:lang w:val="en-US" w:eastAsia="en-US" w:bidi="ar-SA"/>
              </w:rPr>
              <w:t xml:space="preserve"> and Verizon Communications have </w:t>
            </w:r>
            <w:r w:rsidR="00A00A14">
              <w:rPr>
                <w:sz w:val="22"/>
                <w:szCs w:val="22"/>
                <w:lang w:val="en-US" w:eastAsia="en-US" w:bidi="ar-SA"/>
              </w:rPr>
              <w:t xml:space="preserve">paid </w:t>
            </w:r>
            <w:r w:rsidR="00361A4B">
              <w:rPr>
                <w:sz w:val="22"/>
                <w:szCs w:val="22"/>
                <w:lang w:val="en-US" w:eastAsia="en-US" w:bidi="ar-SA"/>
              </w:rPr>
              <w:t xml:space="preserve">a </w:t>
            </w:r>
            <w:r w:rsidR="00A00A14">
              <w:rPr>
                <w:sz w:val="22"/>
                <w:szCs w:val="22"/>
                <w:lang w:val="en-US" w:eastAsia="en-US" w:bidi="ar-SA"/>
              </w:rPr>
              <w:t>civil penalty</w:t>
            </w:r>
            <w:r w:rsidR="003D6C7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46B7B">
              <w:rPr>
                <w:sz w:val="22"/>
                <w:szCs w:val="22"/>
                <w:lang w:val="en-US" w:eastAsia="en-US" w:bidi="ar-SA"/>
              </w:rPr>
              <w:t xml:space="preserve">of over $600 million dollars </w:t>
            </w:r>
            <w:r w:rsidR="003D6C74">
              <w:rPr>
                <w:sz w:val="22"/>
                <w:szCs w:val="22"/>
                <w:lang w:val="en-US" w:eastAsia="en-US" w:bidi="ar-SA"/>
              </w:rPr>
              <w:t>to the U.S. Treasury</w:t>
            </w:r>
            <w:r w:rsidR="00A00A14">
              <w:rPr>
                <w:sz w:val="22"/>
                <w:szCs w:val="22"/>
                <w:lang w:val="en-US" w:eastAsia="en-US" w:bidi="ar-SA"/>
              </w:rPr>
              <w:t xml:space="preserve"> in connection with a January 2017 </w:t>
            </w:r>
            <w:r w:rsidR="006254D5">
              <w:rPr>
                <w:sz w:val="22"/>
                <w:szCs w:val="22"/>
                <w:lang w:val="en-US" w:eastAsia="en-US" w:bidi="ar-SA"/>
              </w:rPr>
              <w:t>settlement</w:t>
            </w:r>
            <w:r w:rsidR="00A00A14">
              <w:rPr>
                <w:sz w:val="22"/>
                <w:szCs w:val="22"/>
                <w:lang w:val="en-US" w:eastAsia="en-US" w:bidi="ar-SA"/>
              </w:rPr>
              <w:t xml:space="preserve"> that Straight Path entered into with the </w:t>
            </w:r>
            <w:r w:rsidRPr="00F63CD9" w:rsidR="00A00A14">
              <w:rPr>
                <w:sz w:val="22"/>
                <w:szCs w:val="22"/>
                <w:lang w:val="en-US" w:eastAsia="en-US" w:bidi="ar-SA"/>
              </w:rPr>
              <w:t>Commission</w:t>
            </w:r>
            <w:r w:rsidR="00A00A14">
              <w:rPr>
                <w:sz w:val="22"/>
                <w:szCs w:val="22"/>
                <w:lang w:val="en-US" w:eastAsia="en-US" w:bidi="ar-SA"/>
              </w:rPr>
              <w:t>’s Enforcement Bureau</w:t>
            </w:r>
            <w:r w:rsidR="00CF7121">
              <w:rPr>
                <w:sz w:val="22"/>
                <w:szCs w:val="22"/>
                <w:lang w:val="en-US" w:eastAsia="en-US" w:bidi="ar-SA"/>
              </w:rPr>
              <w:t>—prior to the sale and transfer of its licenses to Verizon</w:t>
            </w:r>
            <w:r w:rsidRPr="00C30B8C" w:rsidR="008B0F18">
              <w:rPr>
                <w:sz w:val="22"/>
                <w:szCs w:val="22"/>
                <w:lang w:val="en-US" w:eastAsia="en-US" w:bidi="ar-SA"/>
              </w:rPr>
              <w:t>.</w:t>
            </w:r>
            <w:r w:rsidR="00A00A14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A03C55">
              <w:rPr>
                <w:sz w:val="22"/>
                <w:szCs w:val="22"/>
                <w:lang w:val="en-US" w:eastAsia="en-US" w:bidi="ar-SA"/>
              </w:rPr>
              <w:t>This</w:t>
            </w:r>
            <w:r w:rsidR="00EA3AEE">
              <w:rPr>
                <w:sz w:val="22"/>
                <w:szCs w:val="22"/>
                <w:lang w:val="en-US" w:eastAsia="en-US" w:bidi="ar-SA"/>
              </w:rPr>
              <w:t xml:space="preserve"> payment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 is the largest civil penalty </w:t>
            </w:r>
            <w:r w:rsidR="00EF380F">
              <w:rPr>
                <w:sz w:val="22"/>
                <w:szCs w:val="22"/>
                <w:lang w:val="en-US" w:eastAsia="en-US" w:bidi="ar-SA"/>
              </w:rPr>
              <w:t xml:space="preserve">ever 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paid </w:t>
            </w:r>
            <w:r w:rsidR="00EF380F">
              <w:rPr>
                <w:sz w:val="22"/>
                <w:szCs w:val="22"/>
                <w:lang w:val="en-US" w:eastAsia="en-US" w:bidi="ar-SA"/>
              </w:rPr>
              <w:t>to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 the 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U.S. </w:t>
            </w:r>
            <w:r w:rsidR="00B90682">
              <w:rPr>
                <w:sz w:val="22"/>
                <w:szCs w:val="22"/>
                <w:lang w:val="en-US" w:eastAsia="en-US" w:bidi="ar-SA"/>
              </w:rPr>
              <w:t xml:space="preserve">Treasury </w:t>
            </w:r>
            <w:r w:rsidR="005400EF">
              <w:rPr>
                <w:sz w:val="22"/>
                <w:szCs w:val="22"/>
                <w:lang w:val="en-US" w:eastAsia="en-US" w:bidi="ar-SA"/>
              </w:rPr>
              <w:t>to resolve</w:t>
            </w:r>
            <w:r w:rsidR="00A10548">
              <w:rPr>
                <w:sz w:val="22"/>
                <w:szCs w:val="22"/>
                <w:lang w:val="en-US" w:eastAsia="en-US" w:bidi="ar-SA"/>
              </w:rPr>
              <w:t xml:space="preserve"> a Commission </w:t>
            </w:r>
            <w:r>
              <w:rPr>
                <w:sz w:val="22"/>
                <w:szCs w:val="22"/>
                <w:lang w:val="en-US" w:eastAsia="en-US" w:bidi="ar-SA"/>
              </w:rPr>
              <w:t>investigation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.  </w:t>
            </w:r>
            <w:bookmarkEnd w:id="1"/>
          </w:p>
          <w:p w:rsidR="00A965AB" w:rsidP="00A965AB" w14:paraId="668E5D76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323" w:rsidP="00A965AB" w14:paraId="758D69A2" w14:textId="470E16D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65269B">
              <w:rPr>
                <w:sz w:val="22"/>
                <w:szCs w:val="22"/>
                <w:lang w:val="en-US" w:eastAsia="en-US" w:bidi="ar-SA"/>
              </w:rPr>
              <w:t>settlement</w:t>
            </w:r>
            <w:r>
              <w:rPr>
                <w:sz w:val="22"/>
                <w:szCs w:val="22"/>
                <w:lang w:val="en-US" w:eastAsia="en-US" w:bidi="ar-SA"/>
              </w:rPr>
              <w:t xml:space="preserve"> resolved an investigation 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into allegations that </w:t>
            </w:r>
            <w:r>
              <w:rPr>
                <w:sz w:val="22"/>
                <w:szCs w:val="22"/>
                <w:lang w:val="en-US" w:eastAsia="en-US" w:bidi="ar-SA"/>
              </w:rPr>
              <w:t>Straight Path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56ABB">
              <w:rPr>
                <w:sz w:val="22"/>
                <w:szCs w:val="22"/>
                <w:lang w:val="en-US" w:eastAsia="en-US" w:bidi="ar-SA"/>
              </w:rPr>
              <w:t xml:space="preserve">failed to </w:t>
            </w:r>
            <w:r w:rsidR="00FC6F41">
              <w:rPr>
                <w:sz w:val="22"/>
                <w:szCs w:val="22"/>
                <w:lang w:val="en-US" w:eastAsia="en-US" w:bidi="ar-SA"/>
              </w:rPr>
              <w:t>use</w:t>
            </w:r>
            <w:r w:rsidR="00C56ABB">
              <w:rPr>
                <w:sz w:val="22"/>
                <w:szCs w:val="22"/>
                <w:lang w:val="en-US" w:eastAsia="en-US" w:bidi="ar-SA"/>
              </w:rPr>
              <w:t xml:space="preserve"> the spectrum </w:t>
            </w:r>
            <w:r w:rsidR="001B07C9">
              <w:rPr>
                <w:sz w:val="22"/>
                <w:szCs w:val="22"/>
                <w:lang w:val="en-US" w:eastAsia="en-US" w:bidi="ar-SA"/>
              </w:rPr>
              <w:t>it was</w:t>
            </w:r>
            <w:r w:rsidR="00C56ABB">
              <w:rPr>
                <w:sz w:val="22"/>
                <w:szCs w:val="22"/>
                <w:lang w:val="en-US" w:eastAsia="en-US" w:bidi="ar-SA"/>
              </w:rPr>
              <w:t xml:space="preserve"> awarded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1B07C9">
              <w:rPr>
                <w:sz w:val="22"/>
                <w:szCs w:val="22"/>
                <w:lang w:val="en-US" w:eastAsia="en-US" w:bidi="ar-SA"/>
              </w:rPr>
              <w:t>and thus violated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 the Commission’s buildout and discontinuance rules in connection with </w:t>
            </w:r>
            <w:r w:rsidR="004D0081">
              <w:rPr>
                <w:sz w:val="22"/>
                <w:szCs w:val="22"/>
                <w:lang w:val="en-US" w:eastAsia="en-US" w:bidi="ar-SA"/>
              </w:rPr>
              <w:t>approximately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 1,000 licenses in </w:t>
            </w:r>
            <w:r w:rsidR="00AE7D4A">
              <w:rPr>
                <w:sz w:val="22"/>
                <w:szCs w:val="22"/>
                <w:lang w:val="en-US" w:eastAsia="en-US" w:bidi="ar-SA"/>
              </w:rPr>
              <w:t xml:space="preserve">certain millimeter wave </w:t>
            </w:r>
            <w:r w:rsidRPr="00447257">
              <w:rPr>
                <w:sz w:val="22"/>
                <w:szCs w:val="22"/>
                <w:lang w:val="en-US" w:eastAsia="en-US" w:bidi="ar-SA"/>
              </w:rPr>
              <w:t>spectrum bands</w:t>
            </w:r>
            <w:r w:rsidRPr="00447257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Pr="003D6C74" w:rsidR="003D6C74">
              <w:rPr>
                <w:sz w:val="22"/>
                <w:szCs w:val="22"/>
                <w:lang w:val="en-US" w:eastAsia="en-US" w:bidi="ar-SA"/>
              </w:rPr>
              <w:t xml:space="preserve">These high frequency bands have been identified by the Commission for use in the next generation evolution of wireless technology or 5G. 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BD1323" w:rsidP="00A965AB" w14:paraId="07A4FE60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323" w:rsidP="00A965AB" w14:paraId="0BD747CB" w14:textId="09693FE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settlement required </w:t>
            </w:r>
            <w:r w:rsidR="00A00A14">
              <w:rPr>
                <w:sz w:val="22"/>
                <w:szCs w:val="22"/>
                <w:lang w:val="en-US" w:eastAsia="en-US" w:bidi="ar-SA"/>
              </w:rPr>
              <w:t xml:space="preserve">Straight Path to sell </w:t>
            </w:r>
            <w:r>
              <w:rPr>
                <w:sz w:val="22"/>
                <w:szCs w:val="22"/>
                <w:lang w:val="en-US" w:eastAsia="en-US" w:bidi="ar-SA"/>
              </w:rPr>
              <w:t>its</w:t>
            </w:r>
            <w:r w:rsidR="00A00A14">
              <w:rPr>
                <w:sz w:val="22"/>
                <w:szCs w:val="22"/>
                <w:lang w:val="en-US" w:eastAsia="en-US" w:bidi="ar-SA"/>
              </w:rPr>
              <w:t xml:space="preserve"> licenses </w:t>
            </w:r>
            <w:r w:rsidR="00890B97">
              <w:rPr>
                <w:sz w:val="22"/>
                <w:szCs w:val="22"/>
                <w:lang w:val="en-US" w:eastAsia="en-US" w:bidi="ar-SA"/>
              </w:rPr>
              <w:t>and remit 20</w:t>
            </w:r>
            <w:r w:rsidR="006254D5">
              <w:rPr>
                <w:sz w:val="22"/>
                <w:szCs w:val="22"/>
                <w:lang w:val="en-US" w:eastAsia="en-US" w:bidi="ar-SA"/>
              </w:rPr>
              <w:t xml:space="preserve"> percent</w:t>
            </w:r>
            <w:r w:rsidR="00890B97">
              <w:rPr>
                <w:sz w:val="22"/>
                <w:szCs w:val="22"/>
                <w:lang w:val="en-US" w:eastAsia="en-US" w:bidi="ar-SA"/>
              </w:rPr>
              <w:t xml:space="preserve"> of the overall proceeds of the transaction to the </w:t>
            </w:r>
            <w:r w:rsidRPr="00447257" w:rsidR="00890B97">
              <w:rPr>
                <w:sz w:val="22"/>
                <w:szCs w:val="22"/>
                <w:lang w:val="en-US" w:eastAsia="en-US" w:bidi="ar-SA"/>
              </w:rPr>
              <w:t xml:space="preserve">U.S. </w:t>
            </w:r>
            <w:r w:rsidR="00890B97">
              <w:rPr>
                <w:sz w:val="22"/>
                <w:szCs w:val="22"/>
                <w:lang w:val="en-US" w:eastAsia="en-US" w:bidi="ar-SA"/>
              </w:rPr>
              <w:t xml:space="preserve">Treasury.  Verizon and Straight Path 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entered into an agreement on May 11, 2017 to transfer the licenses, and on January </w:t>
            </w:r>
            <w:r w:rsidR="005400EF">
              <w:rPr>
                <w:sz w:val="22"/>
                <w:szCs w:val="22"/>
                <w:lang w:val="en-US" w:eastAsia="en-US" w:bidi="ar-SA"/>
              </w:rPr>
              <w:t>18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, 2018, the </w:t>
            </w:r>
            <w:r w:rsidR="00FD7D91">
              <w:rPr>
                <w:sz w:val="22"/>
                <w:szCs w:val="22"/>
                <w:lang w:val="en-US" w:eastAsia="en-US" w:bidi="ar-SA"/>
              </w:rPr>
              <w:t xml:space="preserve">Commission’s </w:t>
            </w:r>
            <w:r w:rsidR="00A03C55">
              <w:rPr>
                <w:sz w:val="22"/>
                <w:szCs w:val="22"/>
                <w:lang w:val="en-US" w:eastAsia="en-US" w:bidi="ar-SA"/>
              </w:rPr>
              <w:t>Wireless Telecommunications Bureau approved the transfer.</w:t>
            </w:r>
            <w:r w:rsidR="00890B97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BD1323" w:rsidP="00A965AB" w14:paraId="168EAA14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47257" w:rsidP="00A965AB" w14:paraId="7EA475AB" w14:textId="6860EB4E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Today, Straight Path and Verizon paid $</w:t>
            </w:r>
            <w:r w:rsidRPr="007A0BA0" w:rsidR="007A0BA0">
              <w:rPr>
                <w:sz w:val="22"/>
                <w:szCs w:val="22"/>
                <w:lang w:val="en-US" w:eastAsia="en-US" w:bidi="ar-SA"/>
              </w:rPr>
              <w:t xml:space="preserve">614,300,000 </w:t>
            </w:r>
            <w:r>
              <w:rPr>
                <w:sz w:val="22"/>
                <w:szCs w:val="22"/>
                <w:lang w:val="en-US" w:eastAsia="en-US" w:bidi="ar-SA"/>
              </w:rPr>
              <w:t xml:space="preserve">to the </w:t>
            </w:r>
            <w:r w:rsidRPr="00447257">
              <w:rPr>
                <w:sz w:val="22"/>
                <w:szCs w:val="22"/>
                <w:lang w:val="en-US" w:eastAsia="en-US" w:bidi="ar-SA"/>
              </w:rPr>
              <w:t xml:space="preserve">U.S. </w:t>
            </w:r>
            <w:r>
              <w:rPr>
                <w:sz w:val="22"/>
                <w:szCs w:val="22"/>
                <w:lang w:val="en-US" w:eastAsia="en-US" w:bidi="ar-SA"/>
              </w:rPr>
              <w:t xml:space="preserve">Treasury to satisfy the terms of the consent decree.  This payment </w:t>
            </w:r>
            <w:r w:rsidR="00FD7D91">
              <w:rPr>
                <w:sz w:val="22"/>
                <w:szCs w:val="22"/>
                <w:lang w:val="en-US" w:eastAsia="en-US" w:bidi="ar-SA"/>
              </w:rPr>
              <w:t>is</w:t>
            </w:r>
            <w:r>
              <w:rPr>
                <w:sz w:val="22"/>
                <w:szCs w:val="22"/>
                <w:lang w:val="en-US" w:eastAsia="en-US" w:bidi="ar-SA"/>
              </w:rPr>
              <w:t xml:space="preserve"> in addition to </w:t>
            </w:r>
            <w:r w:rsidR="00FD7D91">
              <w:rPr>
                <w:sz w:val="22"/>
                <w:szCs w:val="22"/>
                <w:lang w:val="en-US" w:eastAsia="en-US" w:bidi="ar-SA"/>
              </w:rPr>
              <w:t xml:space="preserve">$15 million that </w:t>
            </w:r>
            <w:r>
              <w:rPr>
                <w:sz w:val="22"/>
                <w:szCs w:val="22"/>
                <w:lang w:val="en-US" w:eastAsia="en-US" w:bidi="ar-SA"/>
              </w:rPr>
              <w:t>Straight Path</w:t>
            </w:r>
            <w:r w:rsidR="00FD7D91">
              <w:rPr>
                <w:sz w:val="22"/>
                <w:szCs w:val="22"/>
                <w:lang w:val="en-US" w:eastAsia="en-US" w:bidi="ar-SA"/>
              </w:rPr>
              <w:t xml:space="preserve"> previously paid </w:t>
            </w:r>
            <w:r w:rsidR="003D6C74">
              <w:rPr>
                <w:sz w:val="22"/>
                <w:szCs w:val="22"/>
                <w:lang w:val="en-US" w:eastAsia="en-US" w:bidi="ar-SA"/>
              </w:rPr>
              <w:t>to the U.S. Treasury,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its</w:t>
            </w:r>
            <w:r w:rsidR="009F6A8B">
              <w:rPr>
                <w:sz w:val="22"/>
                <w:szCs w:val="22"/>
                <w:lang w:val="en-US" w:eastAsia="en-US" w:bidi="ar-SA"/>
              </w:rPr>
              <w:t xml:space="preserve"> earlier</w:t>
            </w:r>
            <w:r>
              <w:rPr>
                <w:sz w:val="22"/>
                <w:szCs w:val="22"/>
                <w:lang w:val="en-US" w:eastAsia="en-US" w:bidi="ar-SA"/>
              </w:rPr>
              <w:t xml:space="preserve"> relinquishment of</w:t>
            </w:r>
            <w:r w:rsidR="00B36EC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3028C">
              <w:rPr>
                <w:sz w:val="22"/>
                <w:szCs w:val="22"/>
                <w:lang w:val="en-US" w:eastAsia="en-US" w:bidi="ar-SA"/>
              </w:rPr>
              <w:t>196—</w:t>
            </w:r>
            <w:r w:rsidR="0073028C">
              <w:rPr>
                <w:rStyle w:val="s7"/>
                <w:sz w:val="22"/>
                <w:szCs w:val="22"/>
                <w:lang w:val="en-US" w:eastAsia="en-US" w:bidi="ar-SA"/>
              </w:rPr>
              <w:t>approximately 20 percent—</w:t>
            </w:r>
            <w:r w:rsidR="006254D5">
              <w:rPr>
                <w:sz w:val="22"/>
                <w:szCs w:val="22"/>
                <w:lang w:val="en-US" w:eastAsia="en-US" w:bidi="ar-SA"/>
              </w:rPr>
              <w:t>of its</w:t>
            </w:r>
            <w:r>
              <w:rPr>
                <w:sz w:val="22"/>
                <w:szCs w:val="22"/>
                <w:lang w:val="en-US" w:eastAsia="en-US" w:bidi="ar-SA"/>
              </w:rPr>
              <w:t xml:space="preserve"> licenses to the Commission that were not included in its </w:t>
            </w:r>
            <w:r w:rsidR="00A03C55">
              <w:rPr>
                <w:sz w:val="22"/>
                <w:szCs w:val="22"/>
                <w:lang w:val="en-US" w:eastAsia="en-US" w:bidi="ar-SA"/>
              </w:rPr>
              <w:t xml:space="preserve">transaction with Verizon.  </w:t>
            </w:r>
          </w:p>
          <w:p w:rsidR="00A00A14" w:rsidP="00A965AB" w14:paraId="0643205A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5269B" w:rsidP="0065269B" w14:paraId="5F439EEC" w14:textId="63372BA5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settlement, formally known as a Consent Decree, is available at: </w:t>
            </w:r>
          </w:p>
          <w:p w:rsidR="0031609C" w:rsidP="0065269B" w14:paraId="18527D29" w14:textId="4034B134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"https://apps.fcc.gov/edocs_public/attachmatch/DA-17-40A1.pdf" </w:instrText>
            </w:r>
            <w:r>
              <w:fldChar w:fldCharType="separate"/>
            </w:r>
            <w:r w:rsidR="0065269B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https://apps.fcc.gov/edocs_public/attachmatch/DA-17-40A1.pdf</w:t>
            </w:r>
            <w:r>
              <w:fldChar w:fldCharType="end"/>
            </w:r>
          </w:p>
          <w:p w:rsidR="00447257" w:rsidP="00A965AB" w14:paraId="2F983E86" w14:textId="342C57A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46B7B" w:rsidP="00A965AB" w14:paraId="242B5705" w14:textId="042B2B5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transfer of control order is available at:</w:t>
            </w:r>
          </w:p>
          <w:p w:rsidR="00646B7B" w:rsidRPr="00C30B8C" w:rsidP="00A965AB" w14:paraId="072B8148" w14:textId="17FC085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"https://transition.fcc.gov/Daily_Releases/Daily_Business/2018/db0118/DA-18-52A1.pdf" </w:instrText>
            </w:r>
            <w:r>
              <w:fldChar w:fldCharType="separate"/>
            </w:r>
            <w:r w:rsidRPr="000D7157" w:rsidR="006254D5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https://transition.fcc.gov/Daily_Releases/Daily_Business/2018/db0118/DA-18-52A1.pdf</w:t>
            </w:r>
            <w:r>
              <w:fldChar w:fldCharType="end"/>
            </w:r>
            <w:r w:rsidR="006254D5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8E2001" w:rsidP="00850E26" w14:paraId="7EA37018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RPr="004A729A" w:rsidP="00850E26" w14:paraId="5F104B9E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0F31D2D4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0571CE1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79FCB96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6F6164D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0667077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39972FD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7812EE05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4A14071A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983" w14:paraId="1D77BA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269B" w14:paraId="388160D8" w14:textId="67923F6C">
    <w:pPr>
      <w:pStyle w:val="Footer"/>
    </w:pPr>
    <w:r>
      <w:tab/>
      <w:t>Non-Public:  For Internal Use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983" w14:paraId="1A2A00F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983" w14:paraId="00A255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983" w14:paraId="7C9524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983" w14:paraId="71738C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B"/>
    <w:rsid w:val="00007812"/>
    <w:rsid w:val="0002500C"/>
    <w:rsid w:val="0002742C"/>
    <w:rsid w:val="000311FC"/>
    <w:rsid w:val="00040127"/>
    <w:rsid w:val="00063618"/>
    <w:rsid w:val="00065E2D"/>
    <w:rsid w:val="00081232"/>
    <w:rsid w:val="0008317E"/>
    <w:rsid w:val="00091E65"/>
    <w:rsid w:val="00096D4A"/>
    <w:rsid w:val="000A38EA"/>
    <w:rsid w:val="000C1E47"/>
    <w:rsid w:val="000C26F3"/>
    <w:rsid w:val="000D7157"/>
    <w:rsid w:val="000E049E"/>
    <w:rsid w:val="0010799B"/>
    <w:rsid w:val="00117DB2"/>
    <w:rsid w:val="00123ED2"/>
    <w:rsid w:val="00125BE0"/>
    <w:rsid w:val="00126CF0"/>
    <w:rsid w:val="00136527"/>
    <w:rsid w:val="00142C13"/>
    <w:rsid w:val="00152776"/>
    <w:rsid w:val="00153222"/>
    <w:rsid w:val="001577D3"/>
    <w:rsid w:val="001733A6"/>
    <w:rsid w:val="001865A9"/>
    <w:rsid w:val="00187DB2"/>
    <w:rsid w:val="001B07C9"/>
    <w:rsid w:val="001B20BB"/>
    <w:rsid w:val="001B5335"/>
    <w:rsid w:val="001C4370"/>
    <w:rsid w:val="001D3779"/>
    <w:rsid w:val="001F0469"/>
    <w:rsid w:val="00203A98"/>
    <w:rsid w:val="00206EDD"/>
    <w:rsid w:val="0021247E"/>
    <w:rsid w:val="002143C2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C5566"/>
    <w:rsid w:val="002D03E5"/>
    <w:rsid w:val="002E3F1D"/>
    <w:rsid w:val="002F2FBC"/>
    <w:rsid w:val="002F31D0"/>
    <w:rsid w:val="00300359"/>
    <w:rsid w:val="0031609C"/>
    <w:rsid w:val="0031773E"/>
    <w:rsid w:val="00330DEF"/>
    <w:rsid w:val="00333871"/>
    <w:rsid w:val="00347716"/>
    <w:rsid w:val="003506E1"/>
    <w:rsid w:val="00361A4B"/>
    <w:rsid w:val="003727E3"/>
    <w:rsid w:val="00385A93"/>
    <w:rsid w:val="003910F1"/>
    <w:rsid w:val="003B3E11"/>
    <w:rsid w:val="003C19DF"/>
    <w:rsid w:val="003D6C7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3AD"/>
    <w:rsid w:val="00441F59"/>
    <w:rsid w:val="00444E07"/>
    <w:rsid w:val="00444FA9"/>
    <w:rsid w:val="00447257"/>
    <w:rsid w:val="00473E9C"/>
    <w:rsid w:val="00480099"/>
    <w:rsid w:val="00497858"/>
    <w:rsid w:val="004A729A"/>
    <w:rsid w:val="004B4FEA"/>
    <w:rsid w:val="004C0ADA"/>
    <w:rsid w:val="004C433E"/>
    <w:rsid w:val="004C4512"/>
    <w:rsid w:val="004C4DFF"/>
    <w:rsid w:val="004C4F36"/>
    <w:rsid w:val="004D0081"/>
    <w:rsid w:val="004D3D85"/>
    <w:rsid w:val="004E2BD8"/>
    <w:rsid w:val="004F0F1F"/>
    <w:rsid w:val="005022AA"/>
    <w:rsid w:val="00504845"/>
    <w:rsid w:val="0050757F"/>
    <w:rsid w:val="00516AD2"/>
    <w:rsid w:val="00523765"/>
    <w:rsid w:val="00537EA3"/>
    <w:rsid w:val="005400EF"/>
    <w:rsid w:val="00545DAE"/>
    <w:rsid w:val="00555F4F"/>
    <w:rsid w:val="00571B83"/>
    <w:rsid w:val="00575A00"/>
    <w:rsid w:val="0058673C"/>
    <w:rsid w:val="005961D3"/>
    <w:rsid w:val="005A7972"/>
    <w:rsid w:val="005B17E7"/>
    <w:rsid w:val="005B2643"/>
    <w:rsid w:val="005D17FD"/>
    <w:rsid w:val="005E3071"/>
    <w:rsid w:val="005F0D55"/>
    <w:rsid w:val="005F183E"/>
    <w:rsid w:val="00600DDA"/>
    <w:rsid w:val="00604211"/>
    <w:rsid w:val="00613498"/>
    <w:rsid w:val="00617B94"/>
    <w:rsid w:val="00620BED"/>
    <w:rsid w:val="00620D11"/>
    <w:rsid w:val="006254D5"/>
    <w:rsid w:val="006415B4"/>
    <w:rsid w:val="00644E3D"/>
    <w:rsid w:val="00646064"/>
    <w:rsid w:val="00646B7B"/>
    <w:rsid w:val="00651B9E"/>
    <w:rsid w:val="00652019"/>
    <w:rsid w:val="0065269B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28F8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028C"/>
    <w:rsid w:val="0073414D"/>
    <w:rsid w:val="0075235E"/>
    <w:rsid w:val="007528A5"/>
    <w:rsid w:val="007732CC"/>
    <w:rsid w:val="00774079"/>
    <w:rsid w:val="0077752B"/>
    <w:rsid w:val="007909A0"/>
    <w:rsid w:val="00793D6F"/>
    <w:rsid w:val="00794090"/>
    <w:rsid w:val="007A0BA0"/>
    <w:rsid w:val="007A44F8"/>
    <w:rsid w:val="007C2E15"/>
    <w:rsid w:val="007D21BF"/>
    <w:rsid w:val="007D3983"/>
    <w:rsid w:val="007D6A99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0B97"/>
    <w:rsid w:val="008960E4"/>
    <w:rsid w:val="008A3940"/>
    <w:rsid w:val="008B0F18"/>
    <w:rsid w:val="008B13C9"/>
    <w:rsid w:val="008C248C"/>
    <w:rsid w:val="008C5432"/>
    <w:rsid w:val="008C7762"/>
    <w:rsid w:val="008C7BF1"/>
    <w:rsid w:val="008D00D6"/>
    <w:rsid w:val="008D4D00"/>
    <w:rsid w:val="008D4E5E"/>
    <w:rsid w:val="008D7ABD"/>
    <w:rsid w:val="008E2001"/>
    <w:rsid w:val="008E55A2"/>
    <w:rsid w:val="008F1609"/>
    <w:rsid w:val="008F78D8"/>
    <w:rsid w:val="0093373C"/>
    <w:rsid w:val="00947D1A"/>
    <w:rsid w:val="00961620"/>
    <w:rsid w:val="009734B6"/>
    <w:rsid w:val="0098096F"/>
    <w:rsid w:val="0098437A"/>
    <w:rsid w:val="00986C92"/>
    <w:rsid w:val="00993C47"/>
    <w:rsid w:val="009972BC"/>
    <w:rsid w:val="009B4B16"/>
    <w:rsid w:val="009C4771"/>
    <w:rsid w:val="009E54A1"/>
    <w:rsid w:val="009F4E25"/>
    <w:rsid w:val="009F5B1F"/>
    <w:rsid w:val="009F6A8B"/>
    <w:rsid w:val="00A00A14"/>
    <w:rsid w:val="00A03C55"/>
    <w:rsid w:val="00A10548"/>
    <w:rsid w:val="00A225A9"/>
    <w:rsid w:val="00A35DFD"/>
    <w:rsid w:val="00A36EDD"/>
    <w:rsid w:val="00A702DF"/>
    <w:rsid w:val="00A775A3"/>
    <w:rsid w:val="00A81700"/>
    <w:rsid w:val="00A81B5B"/>
    <w:rsid w:val="00A82FAD"/>
    <w:rsid w:val="00A84504"/>
    <w:rsid w:val="00A965AB"/>
    <w:rsid w:val="00A9673A"/>
    <w:rsid w:val="00A96EF2"/>
    <w:rsid w:val="00AA5C35"/>
    <w:rsid w:val="00AA5ED9"/>
    <w:rsid w:val="00AC0A38"/>
    <w:rsid w:val="00AC4E0E"/>
    <w:rsid w:val="00AC517B"/>
    <w:rsid w:val="00AD0D19"/>
    <w:rsid w:val="00AE7D4A"/>
    <w:rsid w:val="00AF051B"/>
    <w:rsid w:val="00B037A2"/>
    <w:rsid w:val="00B31870"/>
    <w:rsid w:val="00B320B8"/>
    <w:rsid w:val="00B35EE2"/>
    <w:rsid w:val="00B36DEF"/>
    <w:rsid w:val="00B36ECA"/>
    <w:rsid w:val="00B44A0C"/>
    <w:rsid w:val="00B57131"/>
    <w:rsid w:val="00B57D5C"/>
    <w:rsid w:val="00B62F2C"/>
    <w:rsid w:val="00B63264"/>
    <w:rsid w:val="00B727C9"/>
    <w:rsid w:val="00B735C8"/>
    <w:rsid w:val="00B76A63"/>
    <w:rsid w:val="00B90682"/>
    <w:rsid w:val="00BA6350"/>
    <w:rsid w:val="00BB4E29"/>
    <w:rsid w:val="00BB74C9"/>
    <w:rsid w:val="00BC3AB6"/>
    <w:rsid w:val="00BD1323"/>
    <w:rsid w:val="00BD19E8"/>
    <w:rsid w:val="00BD4273"/>
    <w:rsid w:val="00C30B8C"/>
    <w:rsid w:val="00C432E4"/>
    <w:rsid w:val="00C56ABB"/>
    <w:rsid w:val="00C70C26"/>
    <w:rsid w:val="00C72001"/>
    <w:rsid w:val="00C772B7"/>
    <w:rsid w:val="00C80347"/>
    <w:rsid w:val="00CB7C1A"/>
    <w:rsid w:val="00CC5E08"/>
    <w:rsid w:val="00CE14FD"/>
    <w:rsid w:val="00CF6860"/>
    <w:rsid w:val="00CF7121"/>
    <w:rsid w:val="00D02AC6"/>
    <w:rsid w:val="00D03412"/>
    <w:rsid w:val="00D03F0C"/>
    <w:rsid w:val="00D04312"/>
    <w:rsid w:val="00D16A7F"/>
    <w:rsid w:val="00D16AD2"/>
    <w:rsid w:val="00D22596"/>
    <w:rsid w:val="00D22691"/>
    <w:rsid w:val="00D24C3D"/>
    <w:rsid w:val="00D31A60"/>
    <w:rsid w:val="00D46CB1"/>
    <w:rsid w:val="00D565FB"/>
    <w:rsid w:val="00D60366"/>
    <w:rsid w:val="00D723F0"/>
    <w:rsid w:val="00D8133F"/>
    <w:rsid w:val="00D861EE"/>
    <w:rsid w:val="00D95B05"/>
    <w:rsid w:val="00D97E2D"/>
    <w:rsid w:val="00DA103D"/>
    <w:rsid w:val="00DA1C0C"/>
    <w:rsid w:val="00DA45D3"/>
    <w:rsid w:val="00DA4772"/>
    <w:rsid w:val="00DA7B44"/>
    <w:rsid w:val="00DB2667"/>
    <w:rsid w:val="00DB67B7"/>
    <w:rsid w:val="00DC15A9"/>
    <w:rsid w:val="00DC40AA"/>
    <w:rsid w:val="00DD1750"/>
    <w:rsid w:val="00E14610"/>
    <w:rsid w:val="00E349AA"/>
    <w:rsid w:val="00E373C7"/>
    <w:rsid w:val="00E41390"/>
    <w:rsid w:val="00E41CA0"/>
    <w:rsid w:val="00E4366B"/>
    <w:rsid w:val="00E50A4A"/>
    <w:rsid w:val="00E606DE"/>
    <w:rsid w:val="00E644FE"/>
    <w:rsid w:val="00E6634B"/>
    <w:rsid w:val="00E720BE"/>
    <w:rsid w:val="00E72733"/>
    <w:rsid w:val="00E742FA"/>
    <w:rsid w:val="00E76816"/>
    <w:rsid w:val="00E83DBF"/>
    <w:rsid w:val="00E87C13"/>
    <w:rsid w:val="00E94CD9"/>
    <w:rsid w:val="00EA1A76"/>
    <w:rsid w:val="00EA290B"/>
    <w:rsid w:val="00EA3AEE"/>
    <w:rsid w:val="00EB56E1"/>
    <w:rsid w:val="00EE0E90"/>
    <w:rsid w:val="00EE26B3"/>
    <w:rsid w:val="00EF380F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3CD9"/>
    <w:rsid w:val="00F708E3"/>
    <w:rsid w:val="00F719FB"/>
    <w:rsid w:val="00F76561"/>
    <w:rsid w:val="00F84736"/>
    <w:rsid w:val="00FA411B"/>
    <w:rsid w:val="00FC6C29"/>
    <w:rsid w:val="00FC6F41"/>
    <w:rsid w:val="00FD58E0"/>
    <w:rsid w:val="00FD71AE"/>
    <w:rsid w:val="00FD7D91"/>
    <w:rsid w:val="00FE0198"/>
    <w:rsid w:val="00FE3A7C"/>
    <w:rsid w:val="00FF0FFF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0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3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2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E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2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2E15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2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31A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A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A60"/>
    <w:rPr>
      <w:b/>
      <w:bCs/>
    </w:rPr>
  </w:style>
  <w:style w:type="character" w:customStyle="1" w:styleId="s7">
    <w:name w:val="s7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4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D952-E0B6-4DE1-82F3-E48F7F0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2018-02-28T20:25:49Z</dcterms:created>
  <dcterms:modified xsi:type="dcterms:W3CDTF">2018-02-28T20:25:49Z</dcterms:modified>
</cp:coreProperties>
</file>