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0301" w:rsidP="00F10301">
      <w:pPr>
        <w:pStyle w:val="Title"/>
        <w:jc w:val="left"/>
        <w:rPr>
          <w:szCs w:val="22"/>
        </w:rPr>
      </w:pPr>
      <w:bookmarkStart w:id="0" w:name="_GoBack"/>
      <w:bookmarkEnd w:id="0"/>
    </w:p>
    <w:p w:rsidR="00323CD4" w:rsidP="00F7642A">
      <w:pPr>
        <w:pStyle w:val="Title"/>
        <w:rPr>
          <w:szCs w:val="22"/>
        </w:rPr>
      </w:pPr>
      <w:r w:rsidRPr="00EC4B69">
        <w:rPr>
          <w:szCs w:val="22"/>
        </w:rPr>
        <w:t xml:space="preserve">WIRELINE COMPETITION BUREAU COPPER RETIREMENT NETWORK CHANGE NOTIFICATION FILED BY </w:t>
      </w:r>
      <w:r w:rsidRPr="00A47ED3" w:rsidR="00A47ED3">
        <w:rPr>
          <w:szCs w:val="22"/>
        </w:rPr>
        <w:t>FRONTIER COMMUNICATIONS</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EE27C6">
        <w:rPr>
          <w:szCs w:val="22"/>
        </w:rPr>
        <w:t>71</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A47ED3">
        <w:rPr>
          <w:szCs w:val="22"/>
        </w:rPr>
        <w:t xml:space="preserve">    March 1</w:t>
      </w:r>
      <w:r w:rsidR="00CC1947">
        <w:rPr>
          <w:szCs w:val="22"/>
        </w:rPr>
        <w:t>4</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A47ED3">
        <w:rPr>
          <w:szCs w:val="22"/>
        </w:rPr>
        <w:t>814</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Pr>
          <w:szCs w:val="22"/>
        </w:rPr>
        <w:t xml:space="preserve">Frontier </w:t>
      </w:r>
      <w:r w:rsidR="001E54EC">
        <w:rPr>
          <w:szCs w:val="22"/>
        </w:rPr>
        <w:t>Communications</w:t>
      </w:r>
      <w:r w:rsidRPr="00F7642A" w:rsidR="00F7642A">
        <w:rPr>
          <w:szCs w:val="22"/>
        </w:rPr>
        <w:t xml:space="preserve"> (</w:t>
      </w:r>
      <w:r w:rsidR="001E54EC">
        <w:rPr>
          <w:szCs w:val="22"/>
        </w:rPr>
        <w:t>Frontier</w:t>
      </w:r>
      <w:r w:rsidRPr="00F7642A" w:rsidR="00F7642A">
        <w:rPr>
          <w:szCs w:val="22"/>
        </w:rPr>
        <w:t>)</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 xml:space="preserve">Upon initial review the </w:t>
      </w:r>
      <w:r w:rsidR="006213F3">
        <w:rPr>
          <w:szCs w:val="22"/>
        </w:rPr>
        <w:t xml:space="preserve">amended </w:t>
      </w:r>
      <w:r w:rsidR="00021BD7">
        <w:rPr>
          <w:szCs w:val="22"/>
        </w:rPr>
        <w:t>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Pr="00BC2C29" w:rsidR="00A3637A">
        <w:rPr>
          <w:szCs w:val="22"/>
        </w:rPr>
        <w:t>In addition, Frontier has filed</w:t>
      </w:r>
      <w:r w:rsidR="00A3637A">
        <w:rPr>
          <w:szCs w:val="22"/>
        </w:rPr>
        <w:t xml:space="preserve"> some</w:t>
      </w:r>
      <w:r w:rsidRPr="00BC2C29" w:rsidR="00A3637A">
        <w:rPr>
          <w:szCs w:val="22"/>
        </w:rPr>
        <w:t xml:space="preserve"> initial certification pursuant to section 51.332(d).</w:t>
      </w:r>
      <w:r>
        <w:rPr>
          <w:rStyle w:val="FootnoteReference"/>
          <w:szCs w:val="22"/>
        </w:rPr>
        <w:footnoteReference w:id="4"/>
      </w:r>
      <w:r w:rsidR="00A3637A">
        <w:rPr>
          <w:szCs w:val="22"/>
        </w:rPr>
        <w:t xml:space="preserve">  </w:t>
      </w:r>
      <w:r w:rsidR="00BC2C29">
        <w:rPr>
          <w:szCs w:val="22"/>
        </w:rPr>
        <w:t>Attached is a copy of the notice of network change(s)</w:t>
      </w:r>
      <w:r w:rsidRPr="00F447C9" w:rsidR="00F447C9">
        <w:rPr>
          <w:szCs w:val="22"/>
        </w:rPr>
        <w:t xml:space="preserve"> </w:t>
      </w:r>
      <w:r w:rsidR="00BC2C29">
        <w:rPr>
          <w:szCs w:val="22"/>
        </w:rPr>
        <w:t xml:space="preserve">(total of </w:t>
      </w:r>
      <w:r w:rsidR="00062231">
        <w:rPr>
          <w:szCs w:val="22"/>
        </w:rPr>
        <w:t>two</w:t>
      </w:r>
      <w:r w:rsidR="00BC2C29">
        <w:rPr>
          <w:szCs w:val="22"/>
        </w:rPr>
        <w:t xml:space="preserve"> page</w:t>
      </w:r>
      <w:r w:rsidR="00062231">
        <w:rPr>
          <w:szCs w:val="22"/>
        </w:rPr>
        <w:t>s</w:t>
      </w:r>
      <w:r w:rsidR="00BC2C29">
        <w:rPr>
          <w:szCs w:val="22"/>
        </w:rPr>
        <w:t>).</w:t>
      </w:r>
      <w:r w:rsidR="00B72B47">
        <w:rPr>
          <w:szCs w:val="22"/>
        </w:rPr>
        <w:t xml:space="preserve">  </w:t>
      </w:r>
      <w:r w:rsidRPr="001E360E" w:rsidR="001E360E">
        <w:rPr>
          <w:szCs w:val="22"/>
        </w:rPr>
        <w:t xml:space="preserve">A copy of </w:t>
      </w:r>
      <w:r w:rsidR="00A94919">
        <w:rPr>
          <w:szCs w:val="22"/>
        </w:rPr>
        <w:t xml:space="preserve">Frontier’s notice </w:t>
      </w:r>
      <w:r w:rsidR="00CA69B6">
        <w:rPr>
          <w:szCs w:val="22"/>
        </w:rPr>
        <w:t xml:space="preserve">and </w:t>
      </w:r>
      <w:r w:rsidR="007F10FD">
        <w:rPr>
          <w:szCs w:val="22"/>
        </w:rPr>
        <w:t xml:space="preserve">address </w:t>
      </w:r>
      <w:r w:rsidR="00CA69B6">
        <w:rPr>
          <w:szCs w:val="22"/>
        </w:rPr>
        <w:t xml:space="preserve">attachment </w:t>
      </w:r>
      <w:r w:rsidR="00A94919">
        <w:rPr>
          <w:szCs w:val="22"/>
        </w:rPr>
        <w:t xml:space="preserve">also may be obtained on the Internet at:  </w:t>
      </w:r>
      <w:r>
        <w:fldChar w:fldCharType="begin"/>
      </w:r>
      <w:r>
        <w:instrText xml:space="preserve"> HYPERLINK "https://wholesale.frontier.com/wholesale/notifications-and-news" </w:instrText>
      </w:r>
      <w:r>
        <w:fldChar w:fldCharType="separate"/>
      </w:r>
      <w:r w:rsidRPr="00771ED9" w:rsidR="000242EC">
        <w:rPr>
          <w:rStyle w:val="Hyperlink"/>
          <w:szCs w:val="22"/>
        </w:rPr>
        <w:t>https://wholesale.frontier.com/wholesale/notifications-and-news</w:t>
      </w:r>
      <w:r>
        <w:fldChar w:fldCharType="end"/>
      </w:r>
      <w:r w:rsidR="00A94919">
        <w:rPr>
          <w:szCs w:val="22"/>
        </w:rPr>
        <w:t xml:space="preserve">.  </w:t>
      </w:r>
    </w:p>
    <w:p w:rsidR="00353AFA" w:rsidP="008C4E05">
      <w:pPr>
        <w:tabs>
          <w:tab w:val="left" w:pos="-720"/>
        </w:tabs>
        <w:suppressAutoHyphens/>
        <w:rPr>
          <w:szCs w:val="22"/>
        </w:rPr>
      </w:pP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A3637A" w:rsidRPr="007506DB" w:rsidP="00A3637A">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620"/>
        <w:gridCol w:w="2340"/>
        <w:gridCol w:w="2880"/>
        <w:gridCol w:w="2520"/>
      </w:tblGrid>
      <w:tr w:rsidTr="00903D5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620" w:type="dxa"/>
            <w:shd w:val="clear" w:color="auto" w:fill="auto"/>
          </w:tcPr>
          <w:p w:rsidR="00A3637A" w:rsidRPr="007506DB" w:rsidP="00416972">
            <w:pPr>
              <w:tabs>
                <w:tab w:val="left" w:pos="-720"/>
              </w:tabs>
              <w:suppressAutoHyphens/>
              <w:rPr>
                <w:rStyle w:val="DefaultParagraphFont"/>
                <w:b/>
                <w:sz w:val="22"/>
                <w:szCs w:val="22"/>
                <w:lang w:val="en-US" w:eastAsia="en-US" w:bidi="ar-SA"/>
              </w:rPr>
            </w:pPr>
            <w:r w:rsidRPr="007506DB">
              <w:rPr>
                <w:b/>
                <w:sz w:val="22"/>
                <w:szCs w:val="22"/>
                <w:lang w:val="en-US" w:eastAsia="en-US" w:bidi="ar-SA"/>
              </w:rPr>
              <w:t>Notice Number</w:t>
            </w:r>
          </w:p>
        </w:tc>
        <w:tc>
          <w:tcPr>
            <w:tcW w:w="2340" w:type="dxa"/>
            <w:shd w:val="clear" w:color="auto" w:fill="auto"/>
          </w:tcPr>
          <w:p w:rsidR="00A3637A" w:rsidRPr="007506DB" w:rsidP="00416972">
            <w:pPr>
              <w:tabs>
                <w:tab w:val="left" w:pos="-720"/>
              </w:tabs>
              <w:suppressAutoHyphens/>
              <w:rPr>
                <w:rStyle w:val="DefaultParagraphFont"/>
                <w:b/>
                <w:sz w:val="22"/>
                <w:szCs w:val="22"/>
                <w:lang w:val="en-US" w:eastAsia="en-US" w:bidi="ar-SA"/>
              </w:rPr>
            </w:pPr>
            <w:r w:rsidRPr="007506DB">
              <w:rPr>
                <w:b/>
                <w:sz w:val="22"/>
                <w:szCs w:val="22"/>
                <w:lang w:val="en-US" w:eastAsia="en-US" w:bidi="ar-SA"/>
              </w:rPr>
              <w:t>Type of Change(s)</w:t>
            </w:r>
          </w:p>
        </w:tc>
        <w:tc>
          <w:tcPr>
            <w:tcW w:w="2880" w:type="dxa"/>
            <w:shd w:val="clear" w:color="auto" w:fill="auto"/>
          </w:tcPr>
          <w:p w:rsidR="00A3637A" w:rsidRPr="007506DB" w:rsidP="00416972">
            <w:pPr>
              <w:tabs>
                <w:tab w:val="left" w:pos="-720"/>
              </w:tabs>
              <w:suppressAutoHyphens/>
              <w:rPr>
                <w:rStyle w:val="DefaultParagraphFont"/>
                <w:b/>
                <w:sz w:val="22"/>
                <w:szCs w:val="22"/>
                <w:lang w:val="en-US" w:eastAsia="en-US" w:bidi="ar-SA"/>
              </w:rPr>
            </w:pPr>
            <w:r w:rsidRPr="007506DB">
              <w:rPr>
                <w:b/>
                <w:sz w:val="22"/>
                <w:szCs w:val="22"/>
                <w:lang w:val="en-US" w:eastAsia="en-US" w:bidi="ar-SA"/>
              </w:rPr>
              <w:t>Location of Change(s)</w:t>
            </w:r>
          </w:p>
        </w:tc>
        <w:tc>
          <w:tcPr>
            <w:tcW w:w="2520" w:type="dxa"/>
          </w:tcPr>
          <w:p w:rsidR="00A3637A" w:rsidRPr="007506DB" w:rsidP="00416972">
            <w:pPr>
              <w:tabs>
                <w:tab w:val="left" w:pos="-720"/>
              </w:tabs>
              <w:suppressAutoHyphens/>
              <w:rPr>
                <w:rStyle w:val="DefaultParagraphFont"/>
                <w:b/>
                <w:sz w:val="22"/>
                <w:szCs w:val="22"/>
                <w:lang w:val="en-US" w:eastAsia="en-US" w:bidi="ar-SA"/>
              </w:rPr>
            </w:pPr>
            <w:r w:rsidRPr="007506DB">
              <w:rPr>
                <w:b/>
                <w:sz w:val="22"/>
                <w:szCs w:val="22"/>
                <w:lang w:val="en-US" w:eastAsia="en-US" w:bidi="ar-SA"/>
              </w:rPr>
              <w:t>Planned Implementation Date(s)</w:t>
            </w:r>
          </w:p>
        </w:tc>
      </w:tr>
      <w:tr w:rsidTr="00903D54">
        <w:tblPrEx>
          <w:tblW w:w="9360" w:type="dxa"/>
          <w:tblInd w:w="-5" w:type="dxa"/>
          <w:tblLayout w:type="fixed"/>
          <w:tblCellMar>
            <w:top w:w="0" w:type="dxa"/>
            <w:left w:w="108" w:type="dxa"/>
            <w:bottom w:w="0" w:type="dxa"/>
            <w:right w:w="108" w:type="dxa"/>
          </w:tblCellMar>
          <w:tblLook w:val="01E0"/>
        </w:tblPrEx>
        <w:tc>
          <w:tcPr>
            <w:tcW w:w="1620" w:type="dxa"/>
            <w:shd w:val="clear" w:color="auto" w:fill="auto"/>
          </w:tcPr>
          <w:p w:rsidR="00A3637A" w:rsidRPr="007506DB" w:rsidP="00416972">
            <w:pPr>
              <w:tabs>
                <w:tab w:val="left" w:pos="-720"/>
              </w:tabs>
              <w:suppressAutoHyphens/>
              <w:rPr>
                <w:rStyle w:val="DefaultParagraphFont"/>
                <w:sz w:val="22"/>
                <w:szCs w:val="22"/>
                <w:lang w:val="en-US" w:eastAsia="en-US" w:bidi="ar-SA"/>
              </w:rPr>
            </w:pPr>
            <w:r w:rsidRPr="007506DB">
              <w:rPr>
                <w:sz w:val="22"/>
                <w:szCs w:val="22"/>
                <w:lang w:val="en-US" w:eastAsia="en-US" w:bidi="ar-SA"/>
              </w:rPr>
              <w:t>CCBFTR01</w:t>
            </w:r>
            <w:r>
              <w:rPr>
                <w:sz w:val="22"/>
                <w:szCs w:val="22"/>
                <w:lang w:val="en-US" w:eastAsia="en-US" w:bidi="ar-SA"/>
              </w:rPr>
              <w:t>493</w:t>
            </w:r>
          </w:p>
        </w:tc>
        <w:tc>
          <w:tcPr>
            <w:tcW w:w="2340" w:type="dxa"/>
            <w:shd w:val="clear" w:color="auto" w:fill="auto"/>
          </w:tcPr>
          <w:p w:rsidR="00A3637A" w:rsidRPr="007506DB" w:rsidP="00416972">
            <w:pPr>
              <w:tabs>
                <w:tab w:val="left" w:pos="-720"/>
              </w:tabs>
              <w:suppressAutoHyphens/>
              <w:rPr>
                <w:rStyle w:val="DefaultParagraphFont"/>
                <w:sz w:val="22"/>
                <w:szCs w:val="22"/>
                <w:lang w:val="en-US" w:eastAsia="en-US" w:bidi="ar-SA"/>
              </w:rPr>
            </w:pPr>
            <w:r>
              <w:rPr>
                <w:sz w:val="22"/>
                <w:szCs w:val="22"/>
                <w:lang w:val="en-US" w:eastAsia="en-US" w:bidi="ar-SA"/>
              </w:rPr>
              <w:t xml:space="preserve">Frontier plans to retire affected copper </w:t>
            </w:r>
            <w:r w:rsidR="007E20B0">
              <w:rPr>
                <w:sz w:val="22"/>
                <w:szCs w:val="22"/>
                <w:lang w:val="en-US" w:eastAsia="en-US" w:bidi="ar-SA"/>
              </w:rPr>
              <w:t>facilities</w:t>
            </w:r>
            <w:r>
              <w:rPr>
                <w:sz w:val="22"/>
                <w:szCs w:val="22"/>
                <w:lang w:val="en-US" w:eastAsia="en-US" w:bidi="ar-SA"/>
              </w:rPr>
              <w:t xml:space="preserve"> and replace them with fiber to </w:t>
            </w:r>
            <w:r w:rsidR="007E20B0">
              <w:rPr>
                <w:sz w:val="22"/>
                <w:szCs w:val="22"/>
                <w:lang w:val="en-US" w:eastAsia="en-US" w:bidi="ar-SA"/>
              </w:rPr>
              <w:t>offe</w:t>
            </w:r>
            <w:r w:rsidR="007E65D3">
              <w:rPr>
                <w:sz w:val="22"/>
                <w:szCs w:val="22"/>
                <w:lang w:val="en-US" w:eastAsia="en-US" w:bidi="ar-SA"/>
              </w:rPr>
              <w:t xml:space="preserve">r services over a fiber network </w:t>
            </w:r>
            <w:r w:rsidR="007E20B0">
              <w:rPr>
                <w:sz w:val="22"/>
                <w:szCs w:val="22"/>
                <w:lang w:val="en-US" w:eastAsia="en-US" w:bidi="ar-SA"/>
              </w:rPr>
              <w:t>infrastructure</w:t>
            </w:r>
            <w:r>
              <w:rPr>
                <w:sz w:val="22"/>
                <w:szCs w:val="22"/>
                <w:lang w:val="en-US" w:eastAsia="en-US" w:bidi="ar-SA"/>
              </w:rPr>
              <w:t>.</w:t>
            </w:r>
          </w:p>
        </w:tc>
        <w:tc>
          <w:tcPr>
            <w:tcW w:w="2880" w:type="dxa"/>
            <w:shd w:val="clear" w:color="auto" w:fill="auto"/>
          </w:tcPr>
          <w:p w:rsidR="00A3637A" w:rsidRPr="007506DB" w:rsidP="00416972">
            <w:pPr>
              <w:tabs>
                <w:tab w:val="left" w:pos="-720"/>
              </w:tabs>
              <w:suppressAutoHyphens/>
              <w:rPr>
                <w:rStyle w:val="DefaultParagraphFont"/>
                <w:sz w:val="22"/>
                <w:szCs w:val="22"/>
                <w:lang w:val="en-US" w:eastAsia="en-US" w:bidi="ar-SA"/>
              </w:rPr>
            </w:pPr>
            <w:r>
              <w:rPr>
                <w:sz w:val="22"/>
                <w:szCs w:val="22"/>
                <w:lang w:val="en-US" w:eastAsia="en-US" w:bidi="ar-SA"/>
              </w:rPr>
              <w:t>Wesley Chapel, FL Central Office (</w:t>
            </w:r>
            <w:r w:rsidR="00453C3F">
              <w:rPr>
                <w:sz w:val="22"/>
                <w:szCs w:val="22"/>
                <w:lang w:val="en-US" w:eastAsia="en-US" w:bidi="ar-SA"/>
              </w:rPr>
              <w:t xml:space="preserve">WLCHFLXA) &amp; </w:t>
            </w:r>
            <w:r>
              <w:rPr>
                <w:sz w:val="22"/>
                <w:szCs w:val="22"/>
                <w:lang w:val="en-US" w:eastAsia="en-US" w:bidi="ar-SA"/>
              </w:rPr>
              <w:t xml:space="preserve">at facilities associated with the locations served by </w:t>
            </w:r>
            <w:r w:rsidR="00C7627D">
              <w:rPr>
                <w:sz w:val="22"/>
                <w:szCs w:val="22"/>
                <w:lang w:val="en-US" w:eastAsia="en-US" w:bidi="ar-SA"/>
              </w:rPr>
              <w:t>th</w:t>
            </w:r>
            <w:r w:rsidR="00676CFB">
              <w:rPr>
                <w:sz w:val="22"/>
                <w:szCs w:val="22"/>
                <w:lang w:val="en-US" w:eastAsia="en-US" w:bidi="ar-SA"/>
              </w:rPr>
              <w:t>is</w:t>
            </w:r>
            <w:r>
              <w:rPr>
                <w:sz w:val="22"/>
                <w:szCs w:val="22"/>
                <w:lang w:val="en-US" w:eastAsia="en-US" w:bidi="ar-SA"/>
              </w:rPr>
              <w:t xml:space="preserve"> wire center</w:t>
            </w:r>
            <w:r w:rsidR="00C7627D">
              <w:rPr>
                <w:sz w:val="22"/>
                <w:szCs w:val="22"/>
                <w:lang w:val="en-US" w:eastAsia="en-US" w:bidi="ar-SA"/>
              </w:rPr>
              <w:t xml:space="preserve"> listed in Attachment A to the notice under </w:t>
            </w:r>
            <w:r w:rsidRPr="007C02FB" w:rsidR="007C02FB">
              <w:rPr>
                <w:sz w:val="22"/>
                <w:szCs w:val="22"/>
                <w:lang w:val="en-US" w:eastAsia="en-US" w:bidi="ar-SA"/>
              </w:rPr>
              <w:t xml:space="preserve">CCBFTR01493 - Public Notice of Retirement of Copper Loops Under Rule §51.332 - Wesley Chapel, FL (CLLI: WLCHFLXA) </w:t>
            </w:r>
            <w:r w:rsidR="007C02FB">
              <w:rPr>
                <w:sz w:val="22"/>
                <w:szCs w:val="22"/>
                <w:lang w:val="en-US" w:eastAsia="en-US" w:bidi="ar-SA"/>
              </w:rPr>
              <w:t xml:space="preserve">at </w:t>
            </w:r>
            <w:r>
              <w:fldChar w:fldCharType="begin"/>
            </w:r>
            <w:r>
              <w:rPr>
                <w:sz w:val="22"/>
                <w:lang w:val="en-US" w:eastAsia="en-US" w:bidi="ar-SA"/>
              </w:rPr>
              <w:instrText xml:space="preserve"> HYPERLINK "https://wholesale.frontier.com/wholesale/notifications-and-news" </w:instrText>
            </w:r>
            <w:r>
              <w:fldChar w:fldCharType="separate"/>
            </w:r>
            <w:r w:rsidRPr="00771ED9" w:rsidR="007C02FB">
              <w:rPr>
                <w:rStyle w:val="Hyperlink"/>
                <w:color w:val="0000FF"/>
                <w:sz w:val="22"/>
                <w:szCs w:val="22"/>
                <w:u w:val="single"/>
                <w:lang w:val="en-US" w:eastAsia="en-US" w:bidi="ar-SA"/>
              </w:rPr>
              <w:t>https://wholesale.frontier.com/wholesale/notifications-and-news</w:t>
            </w:r>
            <w:r>
              <w:fldChar w:fldCharType="end"/>
            </w:r>
            <w:r>
              <w:rPr>
                <w:sz w:val="22"/>
                <w:szCs w:val="22"/>
                <w:lang w:val="en-US" w:eastAsia="en-US" w:bidi="ar-SA"/>
              </w:rPr>
              <w:t>.</w:t>
            </w:r>
          </w:p>
        </w:tc>
        <w:tc>
          <w:tcPr>
            <w:tcW w:w="2520" w:type="dxa"/>
          </w:tcPr>
          <w:p w:rsidR="00A3637A" w:rsidRPr="007506DB" w:rsidP="00416972">
            <w:pPr>
              <w:tabs>
                <w:tab w:val="left" w:pos="-720"/>
              </w:tabs>
              <w:suppressAutoHyphens/>
              <w:rPr>
                <w:rStyle w:val="DefaultParagraphFont"/>
                <w:sz w:val="22"/>
                <w:szCs w:val="22"/>
                <w:lang w:val="en-US" w:eastAsia="en-US" w:bidi="ar-SA"/>
              </w:rPr>
            </w:pPr>
            <w:r>
              <w:rPr>
                <w:sz w:val="22"/>
                <w:szCs w:val="22"/>
                <w:lang w:val="en-US" w:eastAsia="en-US" w:bidi="ar-SA"/>
              </w:rPr>
              <w:t>September 5, 2018 or 180 days after FCC public notice</w:t>
            </w:r>
          </w:p>
        </w:tc>
      </w:tr>
    </w:tbl>
    <w:p w:rsidR="00A3637A" w:rsidRPr="007506DB" w:rsidP="00A3637A">
      <w:pPr>
        <w:tabs>
          <w:tab w:val="left" w:pos="-720"/>
        </w:tabs>
        <w:suppressAutoHyphens/>
        <w:rPr>
          <w:szCs w:val="22"/>
          <w:lang w:val="de-DE"/>
        </w:rPr>
      </w:pPr>
    </w:p>
    <w:p w:rsidR="00A3637A" w:rsidRPr="00E60975" w:rsidP="00A3637A">
      <w:pPr>
        <w:tabs>
          <w:tab w:val="left" w:pos="0"/>
        </w:tabs>
        <w:suppressAutoHyphens/>
        <w:rPr>
          <w:szCs w:val="22"/>
        </w:rPr>
      </w:pPr>
      <w:r w:rsidRPr="005833F6">
        <w:rPr>
          <w:szCs w:val="22"/>
        </w:rPr>
        <w:t xml:space="preserve">Incumbent </w:t>
      </w:r>
      <w:r w:rsidRPr="00E60975">
        <w:rPr>
          <w:szCs w:val="22"/>
        </w:rPr>
        <w:t>LEC contact:</w:t>
      </w:r>
    </w:p>
    <w:p w:rsidR="00A3637A" w:rsidRPr="00E60975" w:rsidP="00A3637A">
      <w:pPr>
        <w:tabs>
          <w:tab w:val="left" w:pos="0"/>
        </w:tabs>
        <w:suppressAutoHyphens/>
        <w:rPr>
          <w:szCs w:val="22"/>
        </w:rPr>
      </w:pPr>
      <w:r>
        <w:rPr>
          <w:szCs w:val="22"/>
        </w:rPr>
        <w:t>Joe Chicoine</w:t>
      </w:r>
    </w:p>
    <w:p w:rsidR="00A3637A" w:rsidRPr="00E60975" w:rsidP="00A3637A">
      <w:pPr>
        <w:tabs>
          <w:tab w:val="left" w:pos="0"/>
        </w:tabs>
        <w:suppressAutoHyphens/>
        <w:rPr>
          <w:szCs w:val="22"/>
        </w:rPr>
      </w:pPr>
      <w:r>
        <w:rPr>
          <w:szCs w:val="22"/>
        </w:rPr>
        <w:t xml:space="preserve">Sr. Manager, </w:t>
      </w:r>
      <w:r w:rsidRPr="00E60975">
        <w:rPr>
          <w:szCs w:val="22"/>
        </w:rPr>
        <w:t>Regulatory</w:t>
      </w:r>
      <w:r>
        <w:rPr>
          <w:szCs w:val="22"/>
        </w:rPr>
        <w:t xml:space="preserve"> Affairs</w:t>
      </w:r>
    </w:p>
    <w:p w:rsidR="00A3637A" w:rsidRPr="00E60975" w:rsidP="00A3637A">
      <w:pPr>
        <w:tabs>
          <w:tab w:val="left" w:pos="0"/>
        </w:tabs>
        <w:suppressAutoHyphens/>
        <w:rPr>
          <w:szCs w:val="22"/>
        </w:rPr>
      </w:pPr>
      <w:r>
        <w:rPr>
          <w:szCs w:val="22"/>
        </w:rPr>
        <w:t>Frontier Communications</w:t>
      </w:r>
    </w:p>
    <w:p w:rsidR="00A3637A" w:rsidP="00A3637A">
      <w:pPr>
        <w:tabs>
          <w:tab w:val="left" w:pos="0"/>
        </w:tabs>
        <w:suppressAutoHyphens/>
        <w:rPr>
          <w:szCs w:val="22"/>
        </w:rPr>
      </w:pPr>
      <w:r>
        <w:rPr>
          <w:szCs w:val="22"/>
        </w:rPr>
        <w:t>9260 E. Stockton Blvd.</w:t>
      </w:r>
    </w:p>
    <w:p w:rsidR="00A3637A" w:rsidRPr="00E60975" w:rsidP="00A3637A">
      <w:pPr>
        <w:tabs>
          <w:tab w:val="left" w:pos="0"/>
        </w:tabs>
        <w:suppressAutoHyphens/>
        <w:rPr>
          <w:szCs w:val="22"/>
        </w:rPr>
      </w:pPr>
      <w:r>
        <w:rPr>
          <w:szCs w:val="22"/>
        </w:rPr>
        <w:t>Elk Grove, CA 95624</w:t>
      </w:r>
    </w:p>
    <w:p w:rsidR="00A3637A" w:rsidP="00A3637A">
      <w:pPr>
        <w:rPr>
          <w:szCs w:val="22"/>
        </w:rPr>
      </w:pPr>
      <w:r w:rsidRPr="00E60975">
        <w:rPr>
          <w:szCs w:val="22"/>
        </w:rPr>
        <w:t>(</w:t>
      </w:r>
      <w:r>
        <w:rPr>
          <w:szCs w:val="22"/>
        </w:rPr>
        <w:t>916</w:t>
      </w:r>
      <w:r w:rsidRPr="00E60975">
        <w:rPr>
          <w:szCs w:val="22"/>
        </w:rPr>
        <w:t xml:space="preserve">) </w:t>
      </w:r>
      <w:r>
        <w:rPr>
          <w:szCs w:val="22"/>
        </w:rPr>
        <w:t>686</w:t>
      </w:r>
      <w:r w:rsidRPr="00E60975">
        <w:rPr>
          <w:szCs w:val="22"/>
        </w:rPr>
        <w:t>-</w:t>
      </w:r>
      <w:r>
        <w:rPr>
          <w:szCs w:val="22"/>
        </w:rPr>
        <w:t>3588</w:t>
      </w:r>
    </w:p>
    <w:p w:rsidR="00A3637A" w:rsidP="00A3637A">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5"/>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412">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r w:rsidR="006213F3">
        <w:rPr>
          <w:sz w:val="20"/>
        </w:rPr>
        <w:t xml:space="preserve">  On March 13, 2018, Frontier filed a revised public notice to </w:t>
      </w:r>
      <w:r w:rsidR="00606784">
        <w:rPr>
          <w:sz w:val="20"/>
        </w:rPr>
        <w:t xml:space="preserve">correct </w:t>
      </w:r>
      <w:r w:rsidR="00D814AD">
        <w:rPr>
          <w:sz w:val="20"/>
        </w:rPr>
        <w:t xml:space="preserve">the </w:t>
      </w:r>
      <w:r w:rsidR="00606784">
        <w:rPr>
          <w:sz w:val="20"/>
        </w:rPr>
        <w:t>title in compliance with section 51.329(c)(1) of the Commission’s rules.</w:t>
      </w:r>
      <w:r w:rsidR="00F17976">
        <w:rPr>
          <w:sz w:val="20"/>
        </w:rPr>
        <w:t xml:space="preserve">  </w:t>
      </w:r>
      <w:r w:rsidR="00D814AD">
        <w:rPr>
          <w:i/>
          <w:sz w:val="20"/>
        </w:rPr>
        <w:t>See</w:t>
      </w:r>
      <w:r w:rsidR="00D814AD">
        <w:rPr>
          <w:sz w:val="20"/>
        </w:rPr>
        <w:t xml:space="preserve"> 47 CFR § 51.329(c)(1).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w:t>
      </w:r>
    </w:p>
  </w:footnote>
  <w:footnote w:id="4">
    <w:p w:rsidR="00A3637A" w:rsidP="00A3637A">
      <w:pPr>
        <w:pStyle w:val="FootnoteText"/>
      </w:pPr>
      <w:r>
        <w:rPr>
          <w:rStyle w:val="FootnoteReference"/>
        </w:rPr>
        <w:footnoteRef/>
      </w:r>
      <w:r>
        <w:t xml:space="preserve"> </w:t>
      </w:r>
      <w:r>
        <w:rPr>
          <w:i/>
          <w:sz w:val="20"/>
        </w:rPr>
        <w:t>See</w:t>
      </w:r>
      <w:r>
        <w:rPr>
          <w:sz w:val="20"/>
        </w:rPr>
        <w:t xml:space="preserve"> 47 CFR § 51.332(d).  Incumbent LECs must file certification of all the information required under section 51.332(d) no later than 90 days after the release date of the Commission’s public notice.  </w:t>
      </w:r>
      <w:r>
        <w:rPr>
          <w:i/>
          <w:sz w:val="20"/>
        </w:rPr>
        <w:t>Id</w:t>
      </w:r>
      <w:r>
        <w:rPr>
          <w:sz w:val="20"/>
        </w:rPr>
        <w:t>.</w:t>
      </w:r>
    </w:p>
  </w:footnote>
  <w:footnote w:id="5">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6">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255131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2EC"/>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4442B"/>
    <w:rsid w:val="00052894"/>
    <w:rsid w:val="00053204"/>
    <w:rsid w:val="0005469F"/>
    <w:rsid w:val="0005623D"/>
    <w:rsid w:val="000576FE"/>
    <w:rsid w:val="00061458"/>
    <w:rsid w:val="00062231"/>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838"/>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E54EC"/>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736"/>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E4F09"/>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412"/>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306"/>
    <w:rsid w:val="00371BBC"/>
    <w:rsid w:val="00372F10"/>
    <w:rsid w:val="00372F26"/>
    <w:rsid w:val="00373D9E"/>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24B"/>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07F1A"/>
    <w:rsid w:val="0041132E"/>
    <w:rsid w:val="00411B65"/>
    <w:rsid w:val="004147E9"/>
    <w:rsid w:val="00416927"/>
    <w:rsid w:val="00416972"/>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3C3F"/>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24F0"/>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784"/>
    <w:rsid w:val="00606B63"/>
    <w:rsid w:val="006106B2"/>
    <w:rsid w:val="006115FB"/>
    <w:rsid w:val="00613572"/>
    <w:rsid w:val="00615248"/>
    <w:rsid w:val="0061605D"/>
    <w:rsid w:val="00616192"/>
    <w:rsid w:val="00617C2F"/>
    <w:rsid w:val="006209FD"/>
    <w:rsid w:val="006211B2"/>
    <w:rsid w:val="006213F3"/>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0F02"/>
    <w:rsid w:val="006731C9"/>
    <w:rsid w:val="006731CA"/>
    <w:rsid w:val="00673A8B"/>
    <w:rsid w:val="00674D01"/>
    <w:rsid w:val="00676A4C"/>
    <w:rsid w:val="00676CFB"/>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8A6"/>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1E5"/>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0796"/>
    <w:rsid w:val="00770A70"/>
    <w:rsid w:val="0077172C"/>
    <w:rsid w:val="00771ED9"/>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2FB"/>
    <w:rsid w:val="007C0757"/>
    <w:rsid w:val="007C2355"/>
    <w:rsid w:val="007C29DD"/>
    <w:rsid w:val="007C4556"/>
    <w:rsid w:val="007C68E5"/>
    <w:rsid w:val="007C69A1"/>
    <w:rsid w:val="007D0BDE"/>
    <w:rsid w:val="007D0D14"/>
    <w:rsid w:val="007D138A"/>
    <w:rsid w:val="007D3F17"/>
    <w:rsid w:val="007D42FC"/>
    <w:rsid w:val="007D51C4"/>
    <w:rsid w:val="007D71C5"/>
    <w:rsid w:val="007E20B0"/>
    <w:rsid w:val="007E2400"/>
    <w:rsid w:val="007E65D3"/>
    <w:rsid w:val="007E6BA7"/>
    <w:rsid w:val="007E723C"/>
    <w:rsid w:val="007F0CD2"/>
    <w:rsid w:val="007F10FD"/>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DED"/>
    <w:rsid w:val="00846A35"/>
    <w:rsid w:val="008475CB"/>
    <w:rsid w:val="008511D6"/>
    <w:rsid w:val="00853502"/>
    <w:rsid w:val="00854F88"/>
    <w:rsid w:val="0085584E"/>
    <w:rsid w:val="008565EA"/>
    <w:rsid w:val="0085762B"/>
    <w:rsid w:val="00860B5A"/>
    <w:rsid w:val="00861389"/>
    <w:rsid w:val="00861B73"/>
    <w:rsid w:val="00861FE6"/>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384F"/>
    <w:rsid w:val="008E42F1"/>
    <w:rsid w:val="008E5827"/>
    <w:rsid w:val="008E6E40"/>
    <w:rsid w:val="008F06C9"/>
    <w:rsid w:val="008F155B"/>
    <w:rsid w:val="008F2035"/>
    <w:rsid w:val="008F7FC2"/>
    <w:rsid w:val="00902966"/>
    <w:rsid w:val="00902EB1"/>
    <w:rsid w:val="00903D54"/>
    <w:rsid w:val="00903DBD"/>
    <w:rsid w:val="0090414C"/>
    <w:rsid w:val="00906B91"/>
    <w:rsid w:val="00910206"/>
    <w:rsid w:val="00912A41"/>
    <w:rsid w:val="00912AB3"/>
    <w:rsid w:val="00912C71"/>
    <w:rsid w:val="00912EC7"/>
    <w:rsid w:val="00914AB0"/>
    <w:rsid w:val="00915A9E"/>
    <w:rsid w:val="00915CA1"/>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0899"/>
    <w:rsid w:val="00942B4A"/>
    <w:rsid w:val="009447C2"/>
    <w:rsid w:val="00946DF5"/>
    <w:rsid w:val="009530C5"/>
    <w:rsid w:val="00954DE5"/>
    <w:rsid w:val="0095519F"/>
    <w:rsid w:val="0096085E"/>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D7BFD"/>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637A"/>
    <w:rsid w:val="00A37FBE"/>
    <w:rsid w:val="00A40FA6"/>
    <w:rsid w:val="00A43848"/>
    <w:rsid w:val="00A44495"/>
    <w:rsid w:val="00A451C0"/>
    <w:rsid w:val="00A45F8C"/>
    <w:rsid w:val="00A46E64"/>
    <w:rsid w:val="00A4746B"/>
    <w:rsid w:val="00A47766"/>
    <w:rsid w:val="00A47ED3"/>
    <w:rsid w:val="00A526A5"/>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45D7"/>
    <w:rsid w:val="00A85855"/>
    <w:rsid w:val="00A87A50"/>
    <w:rsid w:val="00A90494"/>
    <w:rsid w:val="00A91A72"/>
    <w:rsid w:val="00A933C7"/>
    <w:rsid w:val="00A93A66"/>
    <w:rsid w:val="00A94919"/>
    <w:rsid w:val="00A94B02"/>
    <w:rsid w:val="00A96F63"/>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46"/>
    <w:rsid w:val="00AC42E4"/>
    <w:rsid w:val="00AC5361"/>
    <w:rsid w:val="00AC6D8A"/>
    <w:rsid w:val="00AC72F9"/>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53B2"/>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BC2"/>
    <w:rsid w:val="00C7489E"/>
    <w:rsid w:val="00C74C19"/>
    <w:rsid w:val="00C74FBB"/>
    <w:rsid w:val="00C751FA"/>
    <w:rsid w:val="00C75D9E"/>
    <w:rsid w:val="00C7627D"/>
    <w:rsid w:val="00C80A1B"/>
    <w:rsid w:val="00C81436"/>
    <w:rsid w:val="00C821B9"/>
    <w:rsid w:val="00C86309"/>
    <w:rsid w:val="00C8689E"/>
    <w:rsid w:val="00C9104F"/>
    <w:rsid w:val="00C94598"/>
    <w:rsid w:val="00C9521B"/>
    <w:rsid w:val="00C95CA9"/>
    <w:rsid w:val="00CA10EE"/>
    <w:rsid w:val="00CA3441"/>
    <w:rsid w:val="00CA4BDF"/>
    <w:rsid w:val="00CA608B"/>
    <w:rsid w:val="00CA69B6"/>
    <w:rsid w:val="00CA7858"/>
    <w:rsid w:val="00CA7AE1"/>
    <w:rsid w:val="00CB03BE"/>
    <w:rsid w:val="00CB1E7C"/>
    <w:rsid w:val="00CB3FA2"/>
    <w:rsid w:val="00CB45BC"/>
    <w:rsid w:val="00CB47E0"/>
    <w:rsid w:val="00CB5931"/>
    <w:rsid w:val="00CB6BAD"/>
    <w:rsid w:val="00CB7591"/>
    <w:rsid w:val="00CC1947"/>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1A9C"/>
    <w:rsid w:val="00D72A77"/>
    <w:rsid w:val="00D74EF8"/>
    <w:rsid w:val="00D76046"/>
    <w:rsid w:val="00D814AD"/>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C6547"/>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06A"/>
    <w:rsid w:val="00E142C2"/>
    <w:rsid w:val="00E154DA"/>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166E"/>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56"/>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7C6"/>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17976"/>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0F6B"/>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A5650"/>
    <w:rsid w:val="00FB08B7"/>
    <w:rsid w:val="00FB106D"/>
    <w:rsid w:val="00FB1584"/>
    <w:rsid w:val="00FB322F"/>
    <w:rsid w:val="00FB33C9"/>
    <w:rsid w:val="00FB4A50"/>
    <w:rsid w:val="00FB4D8E"/>
    <w:rsid w:val="00FB64C7"/>
    <w:rsid w:val="00FC021A"/>
    <w:rsid w:val="00FC058D"/>
    <w:rsid w:val="00FC2418"/>
    <w:rsid w:val="00FC3A7A"/>
    <w:rsid w:val="00FC4378"/>
    <w:rsid w:val="00FC4914"/>
    <w:rsid w:val="00FC6CB5"/>
    <w:rsid w:val="00FD02C3"/>
    <w:rsid w:val="00FD0A32"/>
    <w:rsid w:val="00FD1A69"/>
    <w:rsid w:val="00FD27C2"/>
    <w:rsid w:val="00FD2B8C"/>
    <w:rsid w:val="00FD3CEC"/>
    <w:rsid w:val="00FD705B"/>
    <w:rsid w:val="00FE1ADB"/>
    <w:rsid w:val="00FE3BDA"/>
    <w:rsid w:val="00FE430D"/>
    <w:rsid w:val="00FE445D"/>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539B-0E15-4128-A637-3F5E7E7D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2018-03-14T20:49:11Z</dcterms:created>
  <dcterms:modified xsi:type="dcterms:W3CDTF">2018-03-14T20:49:11Z</dcterms:modified>
</cp:coreProperties>
</file>