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4546F" w:rsidRPr="00074B8D" w:rsidP="0084546F">
      <w:pPr>
        <w:keepNext/>
        <w:widowControl/>
        <w:jc w:val="center"/>
        <w:rPr>
          <w:b/>
          <w:szCs w:val="22"/>
        </w:rPr>
      </w:pPr>
      <w:bookmarkStart w:id="0" w:name="_GoBack"/>
      <w:bookmarkEnd w:id="0"/>
      <w:r w:rsidRPr="00074B8D">
        <w:rPr>
          <w:b/>
          <w:kern w:val="0"/>
          <w:szCs w:val="22"/>
        </w:rPr>
        <w:t>Before</w:t>
      </w:r>
      <w:r w:rsidRPr="00074B8D">
        <w:rPr>
          <w:b/>
          <w:szCs w:val="22"/>
        </w:rPr>
        <w:t xml:space="preserve"> the</w:t>
      </w:r>
    </w:p>
    <w:p w:rsidR="0084546F" w:rsidRPr="00074B8D" w:rsidP="0084546F">
      <w:pPr>
        <w:pStyle w:val="StyleBoldCentered"/>
        <w:keepNext/>
        <w:widowControl/>
        <w:rPr>
          <w:rFonts w:ascii="Times New Roman" w:hAnsi="Times New Roman"/>
        </w:rPr>
      </w:pPr>
      <w:r w:rsidRPr="00074B8D">
        <w:rPr>
          <w:rFonts w:ascii="Times New Roman" w:hAnsi="Times New Roman"/>
        </w:rPr>
        <w:t>F</w:t>
      </w:r>
      <w:r w:rsidRPr="00074B8D">
        <w:rPr>
          <w:rFonts w:ascii="Times New Roman" w:hAnsi="Times New Roman"/>
          <w:caps w:val="0"/>
        </w:rPr>
        <w:t>ederal Communications Commission</w:t>
      </w:r>
    </w:p>
    <w:p w:rsidR="0084546F" w:rsidRPr="00074B8D" w:rsidP="0084546F">
      <w:pPr>
        <w:pStyle w:val="StyleBoldCentered"/>
        <w:keepNext/>
        <w:widowControl/>
        <w:rPr>
          <w:rFonts w:ascii="Times New Roman" w:hAnsi="Times New Roman"/>
        </w:rPr>
      </w:pPr>
      <w:r w:rsidRPr="00074B8D">
        <w:rPr>
          <w:rFonts w:ascii="Times New Roman" w:hAnsi="Times New Roman"/>
          <w:caps w:val="0"/>
        </w:rPr>
        <w:t>Washington</w:t>
      </w:r>
      <w:r w:rsidRPr="00074B8D">
        <w:rPr>
          <w:rFonts w:ascii="Times New Roman" w:hAnsi="Times New Roman"/>
        </w:rPr>
        <w:t>, D.C. 20554</w:t>
      </w:r>
    </w:p>
    <w:p w:rsidR="0084546F" w:rsidRPr="00074B8D" w:rsidP="0084546F">
      <w:pPr>
        <w:pStyle w:val="StyleBoldCentered"/>
        <w:keepNext/>
        <w:widowControl/>
        <w:rPr>
          <w:rFonts w:ascii="Times New Roman" w:hAnsi="Times New Roman"/>
        </w:rPr>
      </w:pPr>
    </w:p>
    <w:p w:rsidR="0084546F" w:rsidRPr="00074B8D" w:rsidP="0084546F">
      <w:pPr>
        <w:pStyle w:val="StyleBoldCentered"/>
        <w:keepNext/>
        <w:widowControl/>
        <w:rPr>
          <w:rFonts w:ascii="Times New Roman" w:hAnsi="Times New Roman"/>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6552E1">
        <w:tblPrEx>
          <w:tblW w:w="0" w:type="auto"/>
          <w:tblInd w:w="0" w:type="dxa"/>
          <w:tblLayout w:type="fixed"/>
          <w:tblCellMar>
            <w:top w:w="0" w:type="dxa"/>
            <w:left w:w="108" w:type="dxa"/>
            <w:bottom w:w="0" w:type="dxa"/>
            <w:right w:w="108" w:type="dxa"/>
          </w:tblCellMar>
          <w:tblLook w:val="0000"/>
        </w:tblPrEx>
        <w:tc>
          <w:tcPr>
            <w:tcW w:w="4698" w:type="dxa"/>
          </w:tcPr>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In the Matter of</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widowControl w:val="0"/>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Accelerating Wireless Broadband Deployment by Removing Barriers to Infrastructure Investment</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tc>
        <w:tc>
          <w:tcPr>
            <w:tcW w:w="630" w:type="dxa"/>
          </w:tcPr>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r w:rsidRPr="00074B8D">
              <w:rPr>
                <w:b/>
                <w:snapToGrid w:val="0"/>
                <w:spacing w:val="-2"/>
                <w:kern w:val="28"/>
                <w:sz w:val="22"/>
                <w:szCs w:val="22"/>
                <w:lang w:val="en-US" w:eastAsia="en-US" w:bidi="ar-SA"/>
              </w:rPr>
              <w:t>)</w:t>
            </w:r>
          </w:p>
          <w:p w:rsidR="0084546F" w:rsidRPr="00074B8D" w:rsidP="006552E1">
            <w:pPr>
              <w:keepNext/>
              <w:widowControl/>
              <w:tabs>
                <w:tab w:val="center" w:pos="4680"/>
              </w:tabs>
              <w:suppressAutoHyphens/>
              <w:rPr>
                <w:rStyle w:val="DefaultParagraphFont"/>
                <w:b/>
                <w:snapToGrid w:val="0"/>
                <w:spacing w:val="-2"/>
                <w:kern w:val="28"/>
                <w:sz w:val="22"/>
                <w:szCs w:val="22"/>
                <w:lang w:val="en-US" w:eastAsia="en-US" w:bidi="ar-SA"/>
              </w:rPr>
            </w:pPr>
          </w:p>
        </w:tc>
        <w:tc>
          <w:tcPr>
            <w:tcW w:w="4248" w:type="dxa"/>
          </w:tcPr>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pStyle w:val="TOAHeading"/>
              <w:keepNext/>
              <w:widowControl/>
              <w:tabs>
                <w:tab w:val="center" w:pos="4680"/>
                <w:tab w:val="clear" w:pos="936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r w:rsidRPr="00074B8D">
              <w:rPr>
                <w:snapToGrid w:val="0"/>
                <w:spacing w:val="-2"/>
                <w:kern w:val="28"/>
                <w:sz w:val="22"/>
                <w:szCs w:val="22"/>
                <w:lang w:val="en-US" w:eastAsia="en-US" w:bidi="ar-SA"/>
              </w:rPr>
              <w:t>WT Docket No. 17-79</w:t>
            </w: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p w:rsidR="0084546F" w:rsidRPr="00074B8D" w:rsidP="006552E1">
            <w:pPr>
              <w:keepNext/>
              <w:widowControl/>
              <w:tabs>
                <w:tab w:val="center" w:pos="4680"/>
              </w:tabs>
              <w:suppressAutoHyphens/>
              <w:rPr>
                <w:rStyle w:val="DefaultParagraphFont"/>
                <w:snapToGrid w:val="0"/>
                <w:spacing w:val="-2"/>
                <w:kern w:val="28"/>
                <w:sz w:val="22"/>
                <w:szCs w:val="22"/>
                <w:lang w:val="en-US" w:eastAsia="en-US" w:bidi="ar-SA"/>
              </w:rPr>
            </w:pPr>
          </w:p>
        </w:tc>
      </w:tr>
    </w:tbl>
    <w:p w:rsidR="0084546F" w:rsidRPr="00074B8D" w:rsidP="0084546F">
      <w:pPr>
        <w:pStyle w:val="StyleBoldCentered"/>
        <w:keepNext/>
        <w:widowControl/>
        <w:rPr>
          <w:rFonts w:ascii="Times New Roman" w:hAnsi="Times New Roman"/>
        </w:rPr>
      </w:pPr>
      <w:r>
        <w:rPr>
          <w:rFonts w:ascii="Times New Roman" w:hAnsi="Times New Roman"/>
        </w:rPr>
        <w:t>ERRATUM</w:t>
      </w:r>
    </w:p>
    <w:p w:rsidR="0084546F" w:rsidRPr="00074B8D" w:rsidP="0084546F">
      <w:pPr>
        <w:keepNext/>
        <w:widowControl/>
        <w:tabs>
          <w:tab w:val="left" w:pos="-720"/>
        </w:tabs>
        <w:suppressAutoHyphens/>
        <w:spacing w:line="227" w:lineRule="auto"/>
        <w:rPr>
          <w:spacing w:val="-2"/>
          <w:szCs w:val="22"/>
        </w:rPr>
      </w:pPr>
    </w:p>
    <w:p w:rsidR="0084546F" w:rsidRPr="00074B8D" w:rsidP="0084546F">
      <w:pPr>
        <w:keepNext/>
        <w:widowControl/>
        <w:tabs>
          <w:tab w:val="left" w:pos="720"/>
          <w:tab w:val="right" w:pos="9360"/>
        </w:tabs>
        <w:suppressAutoHyphens/>
        <w:spacing w:line="227" w:lineRule="auto"/>
        <w:rPr>
          <w:spacing w:val="-2"/>
          <w:szCs w:val="22"/>
        </w:rPr>
      </w:pPr>
      <w:r>
        <w:rPr>
          <w:b/>
          <w:spacing w:val="-2"/>
          <w:szCs w:val="22"/>
        </w:rPr>
        <w:tab/>
      </w:r>
      <w:r w:rsidRPr="00074B8D">
        <w:rPr>
          <w:b/>
          <w:spacing w:val="-2"/>
          <w:szCs w:val="22"/>
        </w:rPr>
        <w:tab/>
        <w:t xml:space="preserve">Released:  </w:t>
      </w:r>
      <w:r>
        <w:rPr>
          <w:b/>
          <w:spacing w:val="-2"/>
          <w:szCs w:val="22"/>
        </w:rPr>
        <w:t xml:space="preserve">April </w:t>
      </w:r>
      <w:r w:rsidR="00961A8B">
        <w:rPr>
          <w:b/>
          <w:spacing w:val="-2"/>
          <w:szCs w:val="22"/>
        </w:rPr>
        <w:t>6</w:t>
      </w:r>
      <w:r>
        <w:rPr>
          <w:b/>
          <w:spacing w:val="-2"/>
          <w:szCs w:val="22"/>
        </w:rPr>
        <w:t>, 2018</w:t>
      </w:r>
    </w:p>
    <w:p w:rsidR="00D10C9D" w:rsidP="0084546F">
      <w:pPr>
        <w:keepNext/>
        <w:widowControl/>
        <w:rPr>
          <w:szCs w:val="22"/>
        </w:rPr>
      </w:pPr>
      <w:r>
        <w:rPr>
          <w:szCs w:val="22"/>
        </w:rPr>
        <w:t xml:space="preserve">By the </w:t>
      </w:r>
      <w:r w:rsidR="003E0383">
        <w:rPr>
          <w:szCs w:val="22"/>
        </w:rPr>
        <w:t>Chief, Wireless Telecommunications Bureau</w:t>
      </w:r>
      <w:r>
        <w:rPr>
          <w:szCs w:val="22"/>
        </w:rPr>
        <w:t>:</w:t>
      </w:r>
    </w:p>
    <w:p w:rsidR="008E5B8E" w:rsidP="0084546F">
      <w:pPr>
        <w:keepNext/>
        <w:widowControl/>
        <w:rPr>
          <w:szCs w:val="22"/>
        </w:rPr>
      </w:pPr>
    </w:p>
    <w:p w:rsidR="00D10C9D" w:rsidP="0084546F">
      <w:pPr>
        <w:keepNext/>
        <w:widowControl/>
        <w:rPr>
          <w:szCs w:val="22"/>
        </w:rPr>
      </w:pPr>
      <w:r>
        <w:rPr>
          <w:szCs w:val="22"/>
        </w:rPr>
        <w:tab/>
        <w:t xml:space="preserve">On March 30, 2018, the Commission </w:t>
      </w:r>
      <w:r w:rsidR="008E5B8E">
        <w:rPr>
          <w:szCs w:val="22"/>
        </w:rPr>
        <w:t xml:space="preserve">released a Second Report and Order, FCC 18-30, in the above-captioned proceeding.  </w:t>
      </w:r>
      <w:bookmarkStart w:id="1" w:name="_Hlk510693294"/>
      <w:r w:rsidR="00720DEB">
        <w:t>This Erratum amends the Table of Contents of the Second Report and Order to correct the paragraph numbering as indicated below</w:t>
      </w:r>
      <w:r w:rsidR="008E5B8E">
        <w:rPr>
          <w:szCs w:val="22"/>
        </w:rPr>
        <w:t>:</w:t>
      </w:r>
    </w:p>
    <w:p w:rsidR="0084546F" w:rsidRPr="00C74698" w:rsidP="0084546F">
      <w:pPr>
        <w:pStyle w:val="TOCTitle"/>
      </w:pPr>
      <w:bookmarkStart w:id="2" w:name="TOChere"/>
      <w:bookmarkEnd w:id="1"/>
      <w:r w:rsidRPr="00C74698">
        <w:t>Table of Contents</w:t>
      </w:r>
    </w:p>
    <w:p w:rsidR="0084546F" w:rsidP="0084546F">
      <w:pPr>
        <w:pStyle w:val="Paratitle"/>
        <w:rPr>
          <w:noProof/>
          <w:snapToGrid/>
        </w:rPr>
      </w:pPr>
      <w:r>
        <w:rPr>
          <w:noProof/>
          <w:snapToGrid/>
        </w:rPr>
        <w:t>Heading</w:t>
      </w:r>
      <w:r>
        <w:rPr>
          <w:noProof/>
          <w:snapToGrid/>
        </w:rPr>
        <w:tab/>
        <w:t>Paragraph #</w:t>
      </w:r>
      <w:bookmarkStart w:id="3" w:name="start_here"/>
      <w:bookmarkEnd w:id="3"/>
    </w:p>
    <w:p w:rsidR="0084546F" w:rsidRPr="0084546F" w:rsidP="0084546F">
      <w:pPr>
        <w:pStyle w:val="TOC1"/>
        <w:rPr>
          <w:rFonts w:ascii="Calibri" w:hAnsi="Calibri"/>
          <w:caps w:val="0"/>
          <w:snapToGrid/>
          <w:kern w:val="0"/>
          <w:szCs w:val="22"/>
        </w:rPr>
      </w:pPr>
      <w:r w:rsidRPr="00C10105">
        <w:t>I.</w:t>
      </w:r>
      <w:r w:rsidRPr="0084546F">
        <w:rPr>
          <w:rFonts w:ascii="Calibri" w:hAnsi="Calibri"/>
          <w:caps w:val="0"/>
          <w:snapToGrid/>
          <w:kern w:val="0"/>
          <w:szCs w:val="22"/>
        </w:rPr>
        <w:tab/>
      </w:r>
      <w:r w:rsidRPr="00C10105">
        <w:t>introduction</w:t>
      </w:r>
      <w:r>
        <w:tab/>
        <w:t>1</w:t>
      </w:r>
    </w:p>
    <w:p w:rsidR="0084546F" w:rsidRPr="0084546F" w:rsidP="0084546F">
      <w:pPr>
        <w:pStyle w:val="TOC1"/>
        <w:rPr>
          <w:rFonts w:ascii="Calibri" w:hAnsi="Calibri"/>
          <w:caps w:val="0"/>
          <w:snapToGrid/>
          <w:kern w:val="0"/>
          <w:szCs w:val="22"/>
        </w:rPr>
      </w:pPr>
      <w:r w:rsidRPr="00C10105">
        <w:t>II.</w:t>
      </w:r>
      <w:r w:rsidRPr="0084546F">
        <w:rPr>
          <w:rFonts w:ascii="Calibri" w:hAnsi="Calibri"/>
          <w:caps w:val="0"/>
          <w:snapToGrid/>
          <w:kern w:val="0"/>
          <w:szCs w:val="22"/>
        </w:rPr>
        <w:tab/>
      </w:r>
      <w:r w:rsidRPr="00C10105">
        <w:t>BACKGROUND</w:t>
      </w:r>
      <w:r>
        <w:tab/>
      </w:r>
      <w:r w:rsidR="00B67DDB">
        <w:t>9</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The Need for Reform</w:t>
      </w:r>
      <w:r>
        <w:tab/>
        <w:t>1</w:t>
      </w:r>
      <w:r w:rsidR="00D94DE3">
        <w:t>1</w:t>
      </w:r>
    </w:p>
    <w:p w:rsidR="0084546F" w:rsidRPr="0084546F" w:rsidP="0084546F">
      <w:pPr>
        <w:pStyle w:val="TOC2"/>
        <w:tabs>
          <w:tab w:val="left" w:pos="360"/>
        </w:tabs>
        <w:rPr>
          <w:rFonts w:ascii="Calibri" w:hAnsi="Calibri"/>
          <w:snapToGrid/>
          <w:kern w:val="0"/>
          <w:szCs w:val="22"/>
        </w:rPr>
      </w:pPr>
      <w:r>
        <w:t xml:space="preserve">B. </w:t>
      </w:r>
      <w:r w:rsidRPr="0084546F">
        <w:rPr>
          <w:rFonts w:ascii="Calibri" w:hAnsi="Calibri"/>
          <w:snapToGrid/>
          <w:kern w:val="0"/>
          <w:szCs w:val="22"/>
        </w:rPr>
        <w:tab/>
      </w:r>
      <w:r w:rsidR="00D94DE3">
        <w:t>Tribal Consultation Process</w:t>
      </w:r>
      <w:r w:rsidR="00D94DE3">
        <w:tab/>
        <w:t>17</w:t>
      </w:r>
    </w:p>
    <w:p w:rsidR="0084546F" w:rsidRPr="0084546F" w:rsidP="0084546F">
      <w:pPr>
        <w:pStyle w:val="TOC1"/>
        <w:rPr>
          <w:rFonts w:ascii="Calibri" w:hAnsi="Calibri"/>
          <w:caps w:val="0"/>
          <w:snapToGrid/>
          <w:kern w:val="0"/>
          <w:szCs w:val="22"/>
        </w:rPr>
      </w:pPr>
      <w:r w:rsidRPr="00C10105">
        <w:t>III.</w:t>
      </w:r>
      <w:r w:rsidRPr="0084546F">
        <w:rPr>
          <w:rFonts w:ascii="Calibri" w:hAnsi="Calibri"/>
          <w:caps w:val="0"/>
          <w:snapToGrid/>
          <w:kern w:val="0"/>
          <w:szCs w:val="22"/>
        </w:rPr>
        <w:tab/>
      </w:r>
      <w:r w:rsidRPr="00C10105">
        <w:t>excluding small wireless facilities from nhpa and nepa review</w:t>
      </w:r>
      <w:r w:rsidR="00D94DE3">
        <w:tab/>
        <w:t>36</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Statutory Backgr</w:t>
      </w:r>
      <w:r w:rsidR="00D94DE3">
        <w:t>ound and Commission Precedent</w:t>
      </w:r>
      <w:r w:rsidR="00D94DE3">
        <w:tab/>
        <w:t>46</w:t>
      </w:r>
    </w:p>
    <w:p w:rsidR="0084546F" w:rsidRPr="0084546F" w:rsidP="0084546F">
      <w:pPr>
        <w:pStyle w:val="TOC2"/>
        <w:tabs>
          <w:tab w:val="left" w:pos="360"/>
        </w:tabs>
        <w:rPr>
          <w:rFonts w:ascii="Calibri" w:hAnsi="Calibri"/>
          <w:snapToGrid/>
          <w:kern w:val="0"/>
          <w:szCs w:val="22"/>
        </w:rPr>
      </w:pPr>
      <w:r>
        <w:t>B.</w:t>
      </w:r>
      <w:r w:rsidRPr="0084546F">
        <w:rPr>
          <w:rFonts w:ascii="Calibri" w:hAnsi="Calibri"/>
          <w:snapToGrid/>
          <w:kern w:val="0"/>
          <w:szCs w:val="22"/>
        </w:rPr>
        <w:tab/>
      </w:r>
      <w:r>
        <w:t>Legal Analysis</w:t>
      </w:r>
      <w:r>
        <w:tab/>
        <w:t>5</w:t>
      </w:r>
      <w:r w:rsidR="00D94DE3">
        <w:t>8</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t>By Amending Our Rules, We Clarify that Small Wireless Facility Deployment Is Neither an Undertakin</w:t>
      </w:r>
      <w:r w:rsidR="00D94DE3">
        <w:t>g Nor a Major Federal Action.</w:t>
      </w:r>
      <w:r w:rsidR="00D94DE3">
        <w:tab/>
        <w:t>58</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Our Amendment of Section 1.1312 of the Rules Is Consist</w:t>
      </w:r>
      <w:r w:rsidR="00D94DE3">
        <w:t>ent with the Public Interest.</w:t>
      </w:r>
      <w:r w:rsidR="00D94DE3">
        <w:tab/>
        <w:t>60</w:t>
      </w:r>
    </w:p>
    <w:p w:rsidR="0084546F" w:rsidRPr="0084546F" w:rsidP="0084546F">
      <w:pPr>
        <w:pStyle w:val="TOC3"/>
        <w:tabs>
          <w:tab w:val="left" w:pos="360"/>
        </w:tabs>
        <w:rPr>
          <w:rFonts w:ascii="Calibri" w:hAnsi="Calibri"/>
          <w:snapToGrid/>
          <w:kern w:val="0"/>
          <w:szCs w:val="22"/>
        </w:rPr>
      </w:pPr>
      <w:r>
        <w:t>3.</w:t>
      </w:r>
      <w:r w:rsidRPr="0084546F">
        <w:rPr>
          <w:rFonts w:ascii="Calibri" w:hAnsi="Calibri"/>
          <w:snapToGrid/>
          <w:kern w:val="0"/>
          <w:szCs w:val="22"/>
        </w:rPr>
        <w:tab/>
      </w:r>
      <w:r>
        <w:t>Other Considerations Raised by Our Prior Rul</w:t>
      </w:r>
      <w:r w:rsidR="00D94DE3">
        <w:t>es and Comments in the Record</w:t>
      </w:r>
      <w:r w:rsidR="00D94DE3">
        <w:tab/>
        <w:t>82</w:t>
      </w:r>
    </w:p>
    <w:p w:rsidR="0084546F" w:rsidRPr="0084546F" w:rsidP="0084546F">
      <w:pPr>
        <w:pStyle w:val="TOC1"/>
        <w:rPr>
          <w:rFonts w:ascii="Calibri" w:hAnsi="Calibri"/>
          <w:caps w:val="0"/>
          <w:snapToGrid/>
          <w:kern w:val="0"/>
          <w:szCs w:val="22"/>
        </w:rPr>
      </w:pPr>
      <w:r w:rsidRPr="00C10105">
        <w:t>IV.</w:t>
      </w:r>
      <w:r w:rsidRPr="0084546F">
        <w:rPr>
          <w:rFonts w:ascii="Calibri" w:hAnsi="Calibri"/>
          <w:caps w:val="0"/>
          <w:snapToGrid/>
          <w:kern w:val="0"/>
          <w:szCs w:val="22"/>
        </w:rPr>
        <w:tab/>
      </w:r>
      <w:r w:rsidRPr="00C10105">
        <w:t>streamlining nhpa and nepa review for larger wireless facilities</w:t>
      </w:r>
      <w:r w:rsidR="00D94DE3">
        <w:tab/>
        <w:t>96</w:t>
      </w:r>
    </w:p>
    <w:p w:rsidR="0084546F" w:rsidRPr="0084546F" w:rsidP="0084546F">
      <w:pPr>
        <w:pStyle w:val="TOC2"/>
        <w:tabs>
          <w:tab w:val="left" w:pos="360"/>
        </w:tabs>
        <w:rPr>
          <w:rFonts w:ascii="Calibri" w:hAnsi="Calibri"/>
          <w:snapToGrid/>
          <w:kern w:val="0"/>
          <w:szCs w:val="22"/>
        </w:rPr>
      </w:pPr>
      <w:r>
        <w:t>A.</w:t>
      </w:r>
      <w:r w:rsidRPr="0084546F">
        <w:rPr>
          <w:rFonts w:ascii="Calibri" w:hAnsi="Calibri"/>
          <w:snapToGrid/>
          <w:kern w:val="0"/>
          <w:szCs w:val="22"/>
        </w:rPr>
        <w:tab/>
      </w:r>
      <w:r>
        <w:t>Clarifying the Section 10</w:t>
      </w:r>
      <w:r w:rsidR="00D94DE3">
        <w:t>6 Tribal Consultation Process</w:t>
      </w:r>
      <w:r w:rsidR="00D94DE3">
        <w:tab/>
        <w:t>96</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rsidR="00D94DE3">
        <w:t>Background</w:t>
      </w:r>
      <w:r w:rsidR="00D94DE3">
        <w:tab/>
        <w:t>96</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Timeline</w:t>
      </w:r>
      <w:r w:rsidR="00D94DE3">
        <w:t xml:space="preserve"> for Initial Tribal Responses</w:t>
      </w:r>
      <w:r w:rsidR="00D94DE3">
        <w:tab/>
        <w:t>100</w:t>
      </w:r>
    </w:p>
    <w:p w:rsidR="0084546F" w:rsidRPr="0084546F" w:rsidP="0084546F">
      <w:pPr>
        <w:pStyle w:val="TOC3"/>
        <w:tabs>
          <w:tab w:val="left" w:pos="360"/>
        </w:tabs>
        <w:rPr>
          <w:rFonts w:ascii="Calibri" w:hAnsi="Calibri"/>
          <w:snapToGrid/>
          <w:kern w:val="0"/>
          <w:szCs w:val="22"/>
        </w:rPr>
      </w:pPr>
      <w:r>
        <w:t>3.</w:t>
      </w:r>
      <w:r w:rsidRPr="0084546F">
        <w:rPr>
          <w:rFonts w:ascii="Calibri" w:hAnsi="Calibri"/>
          <w:snapToGrid/>
          <w:kern w:val="0"/>
          <w:szCs w:val="22"/>
        </w:rPr>
        <w:tab/>
      </w:r>
      <w:r w:rsidR="00D94DE3">
        <w:t>Tribal Fees</w:t>
      </w:r>
      <w:r w:rsidR="00D94DE3">
        <w:tab/>
        <w:t>114</w:t>
      </w:r>
    </w:p>
    <w:p w:rsidR="0084546F" w:rsidRPr="0084546F" w:rsidP="0084546F">
      <w:pPr>
        <w:pStyle w:val="TOC2"/>
        <w:tabs>
          <w:tab w:val="left" w:pos="360"/>
        </w:tabs>
        <w:rPr>
          <w:rFonts w:ascii="Calibri" w:hAnsi="Calibri"/>
          <w:snapToGrid/>
          <w:kern w:val="0"/>
          <w:szCs w:val="22"/>
        </w:rPr>
      </w:pPr>
      <w:r>
        <w:t>B.</w:t>
      </w:r>
      <w:r w:rsidRPr="0084546F">
        <w:rPr>
          <w:rFonts w:ascii="Calibri" w:hAnsi="Calibri"/>
          <w:snapToGrid/>
          <w:kern w:val="0"/>
          <w:szCs w:val="22"/>
        </w:rPr>
        <w:tab/>
      </w:r>
      <w:r>
        <w:t xml:space="preserve">Reforming the FCC’s Environmental Review </w:t>
      </w:r>
      <w:r w:rsidR="00D94DE3">
        <w:t>Process</w:t>
      </w:r>
      <w:r w:rsidR="00D94DE3">
        <w:tab/>
        <w:t>131</w:t>
      </w:r>
    </w:p>
    <w:p w:rsidR="0084546F" w:rsidRPr="0084546F" w:rsidP="0084546F">
      <w:pPr>
        <w:pStyle w:val="TOC3"/>
        <w:tabs>
          <w:tab w:val="left" w:pos="360"/>
        </w:tabs>
        <w:rPr>
          <w:rFonts w:ascii="Calibri" w:hAnsi="Calibri"/>
          <w:snapToGrid/>
          <w:kern w:val="0"/>
          <w:szCs w:val="22"/>
        </w:rPr>
      </w:pPr>
      <w:r>
        <w:t>1.</w:t>
      </w:r>
      <w:r w:rsidRPr="0084546F">
        <w:rPr>
          <w:rFonts w:ascii="Calibri" w:hAnsi="Calibri"/>
          <w:snapToGrid/>
          <w:kern w:val="0"/>
          <w:szCs w:val="22"/>
        </w:rPr>
        <w:tab/>
      </w:r>
      <w:r>
        <w:t>Environmental Assessments of Facil</w:t>
      </w:r>
      <w:r w:rsidR="00D94DE3">
        <w:t>ities Located in Floodplains</w:t>
      </w:r>
      <w:r w:rsidR="00D94DE3">
        <w:tab/>
        <w:t>135</w:t>
      </w:r>
    </w:p>
    <w:p w:rsidR="0084546F" w:rsidRPr="0084546F" w:rsidP="0084546F">
      <w:pPr>
        <w:pStyle w:val="TOC3"/>
        <w:tabs>
          <w:tab w:val="left" w:pos="360"/>
        </w:tabs>
        <w:rPr>
          <w:rFonts w:ascii="Calibri" w:hAnsi="Calibri"/>
          <w:snapToGrid/>
          <w:kern w:val="0"/>
          <w:szCs w:val="22"/>
        </w:rPr>
      </w:pPr>
      <w:r>
        <w:t>2.</w:t>
      </w:r>
      <w:r w:rsidRPr="0084546F">
        <w:rPr>
          <w:rFonts w:ascii="Calibri" w:hAnsi="Calibri"/>
          <w:snapToGrid/>
          <w:kern w:val="0"/>
          <w:szCs w:val="22"/>
        </w:rPr>
        <w:tab/>
      </w:r>
      <w:r>
        <w:t xml:space="preserve">Timeframes for Commission to Act </w:t>
      </w:r>
      <w:r w:rsidR="00D94DE3">
        <w:t>on Environmental Assessments</w:t>
      </w:r>
      <w:r w:rsidR="00D94DE3">
        <w:tab/>
        <w:t>146</w:t>
      </w:r>
    </w:p>
    <w:p w:rsidR="0084546F" w:rsidRPr="0084546F" w:rsidP="0084546F">
      <w:pPr>
        <w:pStyle w:val="TOC1"/>
        <w:rPr>
          <w:rFonts w:ascii="Calibri" w:hAnsi="Calibri"/>
          <w:caps w:val="0"/>
          <w:snapToGrid/>
          <w:kern w:val="0"/>
          <w:szCs w:val="22"/>
        </w:rPr>
      </w:pPr>
      <w:r w:rsidRPr="00C10105">
        <w:t>V.</w:t>
      </w:r>
      <w:r w:rsidRPr="0084546F">
        <w:rPr>
          <w:rFonts w:ascii="Calibri" w:hAnsi="Calibri"/>
          <w:caps w:val="0"/>
          <w:snapToGrid/>
          <w:kern w:val="0"/>
          <w:szCs w:val="22"/>
        </w:rPr>
        <w:tab/>
      </w:r>
      <w:r w:rsidRPr="00C10105">
        <w:t>PROCEDURAL MATTERS</w:t>
      </w:r>
      <w:r w:rsidR="00D94DE3">
        <w:tab/>
        <w:t>154</w:t>
      </w:r>
    </w:p>
    <w:p w:rsidR="0084546F" w:rsidRPr="0084546F" w:rsidP="0084546F">
      <w:pPr>
        <w:pStyle w:val="TOC1"/>
        <w:rPr>
          <w:rFonts w:ascii="Calibri" w:hAnsi="Calibri"/>
          <w:caps w:val="0"/>
          <w:snapToGrid/>
          <w:kern w:val="0"/>
          <w:szCs w:val="22"/>
        </w:rPr>
      </w:pPr>
      <w:r w:rsidRPr="00C10105">
        <w:t>VI.</w:t>
      </w:r>
      <w:r w:rsidRPr="0084546F">
        <w:rPr>
          <w:rFonts w:ascii="Calibri" w:hAnsi="Calibri"/>
          <w:caps w:val="0"/>
          <w:snapToGrid/>
          <w:kern w:val="0"/>
          <w:szCs w:val="22"/>
        </w:rPr>
        <w:tab/>
      </w:r>
      <w:r w:rsidRPr="00C10105">
        <w:t>ORDERING CLAUSES</w:t>
      </w:r>
      <w:r w:rsidR="00D94DE3">
        <w:tab/>
        <w:t>157</w:t>
      </w:r>
    </w:p>
    <w:p w:rsidR="0084546F" w:rsidP="0084546F">
      <w:pPr>
        <w:widowControl/>
        <w:rPr>
          <w:noProof/>
          <w:snapToGrid/>
          <w:kern w:val="0"/>
          <w:szCs w:val="22"/>
        </w:rPr>
      </w:pPr>
      <w:bookmarkEnd w:id="2"/>
      <w:r>
        <w:rPr>
          <w:noProof/>
          <w:snapToGrid/>
          <w:kern w:val="0"/>
          <w:szCs w:val="22"/>
        </w:rPr>
        <w:t>APPENDIX A-Comments and Reply Comments</w:t>
      </w:r>
    </w:p>
    <w:p w:rsidR="0084546F" w:rsidP="0084546F">
      <w:pPr>
        <w:widowControl/>
        <w:rPr>
          <w:noProof/>
          <w:snapToGrid/>
          <w:kern w:val="0"/>
          <w:szCs w:val="22"/>
        </w:rPr>
      </w:pPr>
      <w:r>
        <w:rPr>
          <w:noProof/>
          <w:snapToGrid/>
          <w:kern w:val="0"/>
          <w:szCs w:val="22"/>
        </w:rPr>
        <w:t>APPENDIX B-Final Rules</w:t>
      </w:r>
    </w:p>
    <w:p w:rsidR="008E5B8E" w:rsidP="0084546F">
      <w:pPr>
        <w:widowControl/>
        <w:rPr>
          <w:noProof/>
          <w:snapToGrid/>
          <w:kern w:val="0"/>
          <w:szCs w:val="22"/>
        </w:rPr>
      </w:pPr>
      <w:r>
        <w:rPr>
          <w:noProof/>
          <w:snapToGrid/>
          <w:kern w:val="0"/>
          <w:szCs w:val="22"/>
        </w:rPr>
        <w:br w:type="page"/>
      </w:r>
      <w:r w:rsidR="0084546F">
        <w:rPr>
          <w:noProof/>
          <w:snapToGrid/>
          <w:kern w:val="0"/>
          <w:szCs w:val="22"/>
        </w:rPr>
        <w:t>APPENDIX C-Final Regulatory Flexibility Analysis</w:t>
      </w:r>
    </w:p>
    <w:p w:rsidR="008E5B8E" w:rsidP="0084546F">
      <w:pPr>
        <w:widowControl/>
        <w:rPr>
          <w:noProof/>
          <w:snapToGrid/>
          <w:kern w:val="0"/>
          <w:szCs w:val="22"/>
        </w:rPr>
      </w:pPr>
    </w:p>
    <w:p w:rsidR="008E5B8E" w:rsidRPr="00074B8D" w:rsidP="008E5B8E">
      <w:pPr>
        <w:widowControl/>
        <w:snapToGrid w:val="0"/>
        <w:ind w:left="3600" w:firstLine="720"/>
        <w:jc w:val="center"/>
        <w:rPr>
          <w:rFonts w:eastAsia="Calibri"/>
          <w:snapToGrid/>
          <w:kern w:val="0"/>
          <w:szCs w:val="22"/>
        </w:rPr>
      </w:pPr>
    </w:p>
    <w:p w:rsidR="008E5B8E" w:rsidRPr="00074B8D" w:rsidP="008E5B8E">
      <w:pPr>
        <w:widowControl/>
        <w:snapToGrid w:val="0"/>
        <w:ind w:left="4320"/>
        <w:jc w:val="both"/>
        <w:rPr>
          <w:rFonts w:eastAsia="Calibri"/>
          <w:snapToGrid/>
          <w:kern w:val="0"/>
          <w:szCs w:val="22"/>
        </w:rPr>
      </w:pPr>
      <w:r w:rsidRPr="00074B8D">
        <w:rPr>
          <w:rFonts w:eastAsia="Calibri"/>
          <w:snapToGrid/>
          <w:kern w:val="0"/>
          <w:szCs w:val="22"/>
        </w:rPr>
        <w:t>FEDERAL COMMUNICATIONS COMMISSION</w:t>
      </w: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RPr="00074B8D" w:rsidP="008E5B8E">
      <w:pPr>
        <w:widowControl/>
        <w:snapToGrid w:val="0"/>
        <w:ind w:left="4320"/>
        <w:jc w:val="both"/>
        <w:rPr>
          <w:rFonts w:eastAsia="Calibri"/>
          <w:snapToGrid/>
          <w:kern w:val="0"/>
          <w:szCs w:val="22"/>
        </w:rPr>
      </w:pPr>
    </w:p>
    <w:p w:rsidR="008E5B8E" w:rsidP="008E5B8E">
      <w:pPr>
        <w:widowControl/>
        <w:snapToGrid w:val="0"/>
        <w:ind w:left="4320"/>
        <w:rPr>
          <w:rFonts w:eastAsia="Calibri"/>
          <w:snapToGrid/>
          <w:kern w:val="0"/>
          <w:szCs w:val="22"/>
        </w:rPr>
      </w:pPr>
      <w:bookmarkStart w:id="4" w:name="_Toc506226980"/>
      <w:r>
        <w:rPr>
          <w:rFonts w:eastAsia="Calibri"/>
          <w:snapToGrid/>
          <w:kern w:val="0"/>
          <w:szCs w:val="22"/>
        </w:rPr>
        <w:t>Donald Stockdale</w:t>
      </w:r>
    </w:p>
    <w:p w:rsidR="008E5B8E" w:rsidP="008E5B8E">
      <w:pPr>
        <w:widowControl/>
        <w:snapToGrid w:val="0"/>
        <w:ind w:left="4320"/>
        <w:rPr>
          <w:rFonts w:eastAsia="Calibri"/>
          <w:snapToGrid/>
          <w:kern w:val="0"/>
          <w:szCs w:val="22"/>
        </w:rPr>
      </w:pPr>
      <w:r>
        <w:rPr>
          <w:rFonts w:eastAsia="Calibri"/>
          <w:snapToGrid/>
          <w:kern w:val="0"/>
          <w:szCs w:val="22"/>
        </w:rPr>
        <w:t>Chief, Wireless Telecommunications Bureau</w:t>
      </w:r>
      <w:bookmarkEnd w:id="4"/>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fldChar w:fldCharType="end"/>
    </w:r>
  </w:p>
  <w:p w:rsidR="00802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55614C">
    <w:pPr>
      <w:pStyle w:val="Footer"/>
      <w:framePr w:wrap="around" w:vAnchor="text" w:hAnchor="margin" w:xAlign="center" w:y="1"/>
    </w:pPr>
    <w:r>
      <w:fldChar w:fldCharType="begin"/>
    </w:r>
    <w:r>
      <w:instrText xml:space="preserve">PAGE  </w:instrText>
    </w:r>
    <w:r>
      <w:fldChar w:fldCharType="separate"/>
    </w:r>
    <w:r w:rsidR="00F648D0">
      <w:rPr>
        <w:noProof/>
      </w:rPr>
      <w:t>2</w:t>
    </w:r>
    <w:r>
      <w:fldChar w:fldCharType="end"/>
    </w:r>
  </w:p>
  <w:p w:rsidR="00802161">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48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tab/>
      <w:t>Federal Communications Commission</w:t>
    </w:r>
    <w:r>
      <w:tab/>
    </w:r>
  </w:p>
  <w:p w:rsidR="008021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02161">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161"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04B3E25"/>
    <w:multiLevelType w:val="multilevel"/>
    <w:tmpl w:val="A2587362"/>
    <w:lvl w:ilvl="0">
      <w:start w:val="1"/>
      <w:numFmt w:val="decimal"/>
      <w:pStyle w:val="StyleParaNumItali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73C057C"/>
    <w:multiLevelType w:val="hybridMultilevel"/>
    <w:tmpl w:val="4E3A9BAA"/>
    <w:lvl w:ilvl="0">
      <w:start w:val="1"/>
      <w:numFmt w:val="bullet"/>
      <w:pStyle w:val="Check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6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5"/>
  </w:num>
  <w:num w:numId="8">
    <w:abstractNumId w:val="4"/>
  </w:num>
  <w:num w:numId="9">
    <w:abstractNumId w:val="7"/>
    <w:lvlOverride w:ilvl="0">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46F"/>
    <w:rsid w:val="00026E18"/>
    <w:rsid w:val="00034EB3"/>
    <w:rsid w:val="00036039"/>
    <w:rsid w:val="00037F90"/>
    <w:rsid w:val="00074B8D"/>
    <w:rsid w:val="00085805"/>
    <w:rsid w:val="00086B5F"/>
    <w:rsid w:val="000875BF"/>
    <w:rsid w:val="00096D8C"/>
    <w:rsid w:val="000975C3"/>
    <w:rsid w:val="000C0B65"/>
    <w:rsid w:val="000E05FE"/>
    <w:rsid w:val="000E3D42"/>
    <w:rsid w:val="00122BD5"/>
    <w:rsid w:val="00133F79"/>
    <w:rsid w:val="00172D5A"/>
    <w:rsid w:val="0018431B"/>
    <w:rsid w:val="00194A66"/>
    <w:rsid w:val="001C3DBE"/>
    <w:rsid w:val="001D6BCF"/>
    <w:rsid w:val="001D7651"/>
    <w:rsid w:val="001E01CA"/>
    <w:rsid w:val="00235469"/>
    <w:rsid w:val="00254C4F"/>
    <w:rsid w:val="00260CAE"/>
    <w:rsid w:val="00262F53"/>
    <w:rsid w:val="0027275F"/>
    <w:rsid w:val="00275CF5"/>
    <w:rsid w:val="0028301F"/>
    <w:rsid w:val="00285017"/>
    <w:rsid w:val="00286AC9"/>
    <w:rsid w:val="002A2D2E"/>
    <w:rsid w:val="002C00E8"/>
    <w:rsid w:val="00336B5A"/>
    <w:rsid w:val="00343749"/>
    <w:rsid w:val="003660ED"/>
    <w:rsid w:val="0037167B"/>
    <w:rsid w:val="00375AF9"/>
    <w:rsid w:val="003864EC"/>
    <w:rsid w:val="00397764"/>
    <w:rsid w:val="003B0550"/>
    <w:rsid w:val="003B1BB5"/>
    <w:rsid w:val="003B1D92"/>
    <w:rsid w:val="003B694F"/>
    <w:rsid w:val="003C51ED"/>
    <w:rsid w:val="003E0383"/>
    <w:rsid w:val="003F171C"/>
    <w:rsid w:val="00412C6A"/>
    <w:rsid w:val="00412FC5"/>
    <w:rsid w:val="00422276"/>
    <w:rsid w:val="004242F1"/>
    <w:rsid w:val="00445A00"/>
    <w:rsid w:val="00451B0F"/>
    <w:rsid w:val="00480769"/>
    <w:rsid w:val="004A6183"/>
    <w:rsid w:val="004C2EE3"/>
    <w:rsid w:val="004C48D6"/>
    <w:rsid w:val="004E4A22"/>
    <w:rsid w:val="00511968"/>
    <w:rsid w:val="00524A41"/>
    <w:rsid w:val="00547136"/>
    <w:rsid w:val="0055614C"/>
    <w:rsid w:val="00576A67"/>
    <w:rsid w:val="005D16AB"/>
    <w:rsid w:val="005E14C2"/>
    <w:rsid w:val="00607BA5"/>
    <w:rsid w:val="0061180A"/>
    <w:rsid w:val="00626EB6"/>
    <w:rsid w:val="006552E1"/>
    <w:rsid w:val="00655D03"/>
    <w:rsid w:val="00662F3A"/>
    <w:rsid w:val="00683388"/>
    <w:rsid w:val="00683F84"/>
    <w:rsid w:val="006A6A81"/>
    <w:rsid w:val="006E17BC"/>
    <w:rsid w:val="006F7393"/>
    <w:rsid w:val="0070224F"/>
    <w:rsid w:val="007115F7"/>
    <w:rsid w:val="007166D6"/>
    <w:rsid w:val="00720DEB"/>
    <w:rsid w:val="00740B75"/>
    <w:rsid w:val="0076386A"/>
    <w:rsid w:val="00785689"/>
    <w:rsid w:val="007961EF"/>
    <w:rsid w:val="00796743"/>
    <w:rsid w:val="0079754B"/>
    <w:rsid w:val="007A1E6D"/>
    <w:rsid w:val="007B0EB2"/>
    <w:rsid w:val="007C6823"/>
    <w:rsid w:val="007F3196"/>
    <w:rsid w:val="00802161"/>
    <w:rsid w:val="00810B6F"/>
    <w:rsid w:val="00822CE0"/>
    <w:rsid w:val="00841AB1"/>
    <w:rsid w:val="0084546F"/>
    <w:rsid w:val="00860655"/>
    <w:rsid w:val="00883B00"/>
    <w:rsid w:val="008C464D"/>
    <w:rsid w:val="008C68F1"/>
    <w:rsid w:val="008E5B8E"/>
    <w:rsid w:val="00917D93"/>
    <w:rsid w:val="00921803"/>
    <w:rsid w:val="00926503"/>
    <w:rsid w:val="00953568"/>
    <w:rsid w:val="00960C55"/>
    <w:rsid w:val="00961A8B"/>
    <w:rsid w:val="009726D8"/>
    <w:rsid w:val="009973DB"/>
    <w:rsid w:val="009A778A"/>
    <w:rsid w:val="009F43CD"/>
    <w:rsid w:val="009F76DB"/>
    <w:rsid w:val="00A32C3B"/>
    <w:rsid w:val="00A45F4F"/>
    <w:rsid w:val="00A46A8D"/>
    <w:rsid w:val="00A5000E"/>
    <w:rsid w:val="00A600A9"/>
    <w:rsid w:val="00A64325"/>
    <w:rsid w:val="00A64EBC"/>
    <w:rsid w:val="00A87803"/>
    <w:rsid w:val="00AA55B7"/>
    <w:rsid w:val="00AA5B9E"/>
    <w:rsid w:val="00AB2407"/>
    <w:rsid w:val="00AB48C7"/>
    <w:rsid w:val="00AB53DF"/>
    <w:rsid w:val="00AD1DF4"/>
    <w:rsid w:val="00AE2DDA"/>
    <w:rsid w:val="00B07E5C"/>
    <w:rsid w:val="00B2171D"/>
    <w:rsid w:val="00B67DDB"/>
    <w:rsid w:val="00B73508"/>
    <w:rsid w:val="00B811F7"/>
    <w:rsid w:val="00B94239"/>
    <w:rsid w:val="00BA5DC6"/>
    <w:rsid w:val="00BA6196"/>
    <w:rsid w:val="00BC6D8C"/>
    <w:rsid w:val="00BF4487"/>
    <w:rsid w:val="00C0437D"/>
    <w:rsid w:val="00C071E1"/>
    <w:rsid w:val="00C10105"/>
    <w:rsid w:val="00C14EC7"/>
    <w:rsid w:val="00C34006"/>
    <w:rsid w:val="00C426B1"/>
    <w:rsid w:val="00C66160"/>
    <w:rsid w:val="00C721AC"/>
    <w:rsid w:val="00C74698"/>
    <w:rsid w:val="00C802C0"/>
    <w:rsid w:val="00C90D6A"/>
    <w:rsid w:val="00CA247E"/>
    <w:rsid w:val="00CC72B6"/>
    <w:rsid w:val="00CE221D"/>
    <w:rsid w:val="00CF2E20"/>
    <w:rsid w:val="00D0218D"/>
    <w:rsid w:val="00D10C9D"/>
    <w:rsid w:val="00D25FB5"/>
    <w:rsid w:val="00D44223"/>
    <w:rsid w:val="00D75A81"/>
    <w:rsid w:val="00D94DE3"/>
    <w:rsid w:val="00DA2529"/>
    <w:rsid w:val="00DB130A"/>
    <w:rsid w:val="00DB2EBB"/>
    <w:rsid w:val="00DB514F"/>
    <w:rsid w:val="00DC07D2"/>
    <w:rsid w:val="00DC10A1"/>
    <w:rsid w:val="00DC655F"/>
    <w:rsid w:val="00DD0B59"/>
    <w:rsid w:val="00DD5025"/>
    <w:rsid w:val="00DD7EBD"/>
    <w:rsid w:val="00DE70D7"/>
    <w:rsid w:val="00DF62B6"/>
    <w:rsid w:val="00E07225"/>
    <w:rsid w:val="00E5409F"/>
    <w:rsid w:val="00EA75BE"/>
    <w:rsid w:val="00EC09A5"/>
    <w:rsid w:val="00EC4A32"/>
    <w:rsid w:val="00EE6488"/>
    <w:rsid w:val="00F021FA"/>
    <w:rsid w:val="00F4119C"/>
    <w:rsid w:val="00F62E97"/>
    <w:rsid w:val="00F64209"/>
    <w:rsid w:val="00F648D0"/>
    <w:rsid w:val="00F93BF5"/>
    <w:rsid w:val="00FA5009"/>
    <w:rsid w:val="00FE1C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18"/>
    <w:pPr>
      <w:widowControl w:val="0"/>
    </w:pPr>
    <w:rPr>
      <w:snapToGrid w:val="0"/>
      <w:kern w:val="28"/>
      <w:sz w:val="22"/>
    </w:rPr>
  </w:style>
  <w:style w:type="paragraph" w:styleId="Heading1">
    <w:name w:val="heading 1"/>
    <w:aliases w:val="H1,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026E1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 Char Char Char,Heading 2 Char Char1 Char Char Char Char Char,Heading 2 Char Char3 Char,Heading 2 Char1,Heading 2 Char1 Char,Heading 2 Char1 Char Char Char,Heading 2 Char1 Char Char Char Char Char,h2 Cha,h2 Char"/>
    <w:basedOn w:val="Normal"/>
    <w:next w:val="ParaNum"/>
    <w:link w:val="Heading2Char"/>
    <w:autoRedefine/>
    <w:qFormat/>
    <w:rsid w:val="00026E18"/>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026E18"/>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026E18"/>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026E1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26E18"/>
    <w:pPr>
      <w:numPr>
        <w:ilvl w:val="5"/>
        <w:numId w:val="3"/>
      </w:numPr>
      <w:tabs>
        <w:tab w:val="left" w:pos="4320"/>
      </w:tabs>
      <w:spacing w:after="120"/>
      <w:outlineLvl w:val="5"/>
    </w:pPr>
    <w:rPr>
      <w:b/>
    </w:rPr>
  </w:style>
  <w:style w:type="paragraph" w:styleId="Heading7">
    <w:name w:val="heading 7"/>
    <w:basedOn w:val="Normal"/>
    <w:next w:val="ParaNum"/>
    <w:qFormat/>
    <w:rsid w:val="00026E1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6E18"/>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026E1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26E18"/>
    <w:pPr>
      <w:numPr>
        <w:numId w:val="2"/>
      </w:numPr>
      <w:tabs>
        <w:tab w:val="clear" w:pos="1080"/>
        <w:tab w:val="num" w:pos="1440"/>
      </w:tabs>
      <w:spacing w:after="120"/>
    </w:pPr>
  </w:style>
  <w:style w:type="paragraph" w:styleId="EndnoteText">
    <w:name w:val="endnote text"/>
    <w:basedOn w:val="Normal"/>
    <w:semiHidden/>
    <w:rsid w:val="00026E18"/>
    <w:rPr>
      <w:sz w:val="20"/>
    </w:rPr>
  </w:style>
  <w:style w:type="character" w:styleId="EndnoteReference">
    <w:name w:val="endnote reference"/>
    <w:semiHidden/>
    <w:rsid w:val="00026E18"/>
    <w:rPr>
      <w:vertAlign w:val="superscript"/>
    </w:rPr>
  </w:style>
  <w:style w:type="paragraph" w:styleId="FootnoteText">
    <w:name w:val="footnote text"/>
    <w:aliases w:val="ALTS FOOTNOTE,Footnote Text Char Char,Footnote Text Char Char1 Char Char,Footnote Text Char1,Footnote Text Char1 Char Char,Footnote Text Char1 Char Char Char Char Char,Footnote Text Char2 Char Char,Footnote Text Char2 Char Char Char Char,f"/>
    <w:link w:val="FootnoteTextChar"/>
    <w:rsid w:val="00026E18"/>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026E18"/>
    <w:rPr>
      <w:rFonts w:ascii="Times New Roman" w:hAnsi="Times New Roman"/>
      <w:dstrike w:val="0"/>
      <w:color w:val="auto"/>
      <w:sz w:val="20"/>
      <w:vertAlign w:val="superscript"/>
    </w:rPr>
  </w:style>
  <w:style w:type="paragraph" w:styleId="TOC1">
    <w:name w:val="toc 1"/>
    <w:basedOn w:val="Normal"/>
    <w:next w:val="Normal"/>
    <w:rsid w:val="00026E18"/>
    <w:pPr>
      <w:tabs>
        <w:tab w:val="left" w:pos="360"/>
        <w:tab w:val="right" w:leader="dot" w:pos="9360"/>
      </w:tabs>
      <w:suppressAutoHyphens/>
      <w:ind w:left="360" w:right="720" w:hanging="360"/>
    </w:pPr>
    <w:rPr>
      <w:caps/>
      <w:noProof/>
    </w:rPr>
  </w:style>
  <w:style w:type="paragraph" w:styleId="TOC2">
    <w:name w:val="toc 2"/>
    <w:basedOn w:val="Normal"/>
    <w:next w:val="Normal"/>
    <w:rsid w:val="00026E18"/>
    <w:pPr>
      <w:tabs>
        <w:tab w:val="left" w:pos="720"/>
        <w:tab w:val="right" w:leader="dot" w:pos="9360"/>
      </w:tabs>
      <w:suppressAutoHyphens/>
      <w:ind w:left="720" w:right="720" w:hanging="360"/>
    </w:pPr>
    <w:rPr>
      <w:noProof/>
    </w:rPr>
  </w:style>
  <w:style w:type="paragraph" w:styleId="TOC3">
    <w:name w:val="toc 3"/>
    <w:basedOn w:val="Normal"/>
    <w:next w:val="Normal"/>
    <w:rsid w:val="00026E1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026E1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026E1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6E1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6E1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6E1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6E1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6E18"/>
    <w:pPr>
      <w:tabs>
        <w:tab w:val="right" w:pos="9360"/>
      </w:tabs>
      <w:suppressAutoHyphens/>
    </w:pPr>
  </w:style>
  <w:style w:type="character" w:customStyle="1" w:styleId="EquationCaption">
    <w:name w:val="_Equation Caption"/>
    <w:rsid w:val="00026E18"/>
  </w:style>
  <w:style w:type="paragraph" w:styleId="Header">
    <w:name w:val="header"/>
    <w:basedOn w:val="Normal"/>
    <w:autoRedefine/>
    <w:rsid w:val="00026E18"/>
    <w:pPr>
      <w:tabs>
        <w:tab w:val="center" w:pos="4680"/>
        <w:tab w:val="right" w:pos="9360"/>
      </w:tabs>
    </w:pPr>
    <w:rPr>
      <w:b/>
    </w:rPr>
  </w:style>
  <w:style w:type="paragraph" w:styleId="Footer">
    <w:name w:val="footer"/>
    <w:basedOn w:val="Normal"/>
    <w:link w:val="FooterChar"/>
    <w:rsid w:val="00026E18"/>
    <w:pPr>
      <w:tabs>
        <w:tab w:val="center" w:pos="4320"/>
        <w:tab w:val="right" w:pos="8640"/>
      </w:tabs>
    </w:pPr>
  </w:style>
  <w:style w:type="character" w:styleId="PageNumber">
    <w:name w:val="page number"/>
    <w:basedOn w:val="DefaultParagraphFont"/>
    <w:rsid w:val="00026E18"/>
  </w:style>
  <w:style w:type="paragraph" w:styleId="BlockText">
    <w:name w:val="Block Text"/>
    <w:basedOn w:val="Normal"/>
    <w:rsid w:val="00026E18"/>
    <w:pPr>
      <w:spacing w:after="240"/>
      <w:ind w:left="1440" w:right="1440"/>
    </w:pPr>
  </w:style>
  <w:style w:type="paragraph" w:customStyle="1" w:styleId="Paratitle">
    <w:name w:val="Para title"/>
    <w:basedOn w:val="Normal"/>
    <w:rsid w:val="00026E18"/>
    <w:pPr>
      <w:tabs>
        <w:tab w:val="center" w:pos="9270"/>
      </w:tabs>
      <w:spacing w:after="240"/>
    </w:pPr>
    <w:rPr>
      <w:spacing w:val="-2"/>
    </w:rPr>
  </w:style>
  <w:style w:type="paragraph" w:customStyle="1" w:styleId="Bullet">
    <w:name w:val="Bullet"/>
    <w:basedOn w:val="Normal"/>
    <w:rsid w:val="00026E18"/>
    <w:pPr>
      <w:tabs>
        <w:tab w:val="left" w:pos="2160"/>
      </w:tabs>
      <w:spacing w:after="220"/>
      <w:ind w:left="2160" w:hanging="720"/>
    </w:pPr>
  </w:style>
  <w:style w:type="paragraph" w:customStyle="1" w:styleId="TableFormat">
    <w:name w:val="TableFormat"/>
    <w:basedOn w:val="Bullet"/>
    <w:rsid w:val="00026E18"/>
    <w:pPr>
      <w:tabs>
        <w:tab w:val="clear" w:pos="2160"/>
        <w:tab w:val="left" w:pos="5040"/>
      </w:tabs>
      <w:ind w:left="5040" w:hanging="3600"/>
    </w:pPr>
  </w:style>
  <w:style w:type="paragraph" w:customStyle="1" w:styleId="TOCTitle">
    <w:name w:val="TOC Title"/>
    <w:basedOn w:val="Normal"/>
    <w:rsid w:val="00026E1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6E18"/>
    <w:pPr>
      <w:jc w:val="center"/>
    </w:pPr>
    <w:rPr>
      <w:rFonts w:ascii="Times New Roman Bold" w:hAnsi="Times New Roman Bold"/>
      <w:b/>
      <w:bCs/>
      <w:caps/>
      <w:szCs w:val="22"/>
    </w:rPr>
  </w:style>
  <w:style w:type="character" w:styleId="Hyperlink">
    <w:name w:val="Hyperlink"/>
    <w:rsid w:val="00026E18"/>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 Char"/>
    <w:link w:val="FootnoteText"/>
    <w:rsid w:val="0084546F"/>
  </w:style>
  <w:style w:type="character" w:customStyle="1" w:styleId="ParaNumChar">
    <w:name w:val="ParaNum Char"/>
    <w:link w:val="ParaNum"/>
    <w:rsid w:val="0084546F"/>
    <w:rPr>
      <w:snapToGrid w:val="0"/>
      <w:kern w:val="28"/>
      <w:sz w:val="22"/>
    </w:rPr>
  </w:style>
  <w:style w:type="paragraph" w:styleId="BalloonText">
    <w:name w:val="Balloon Text"/>
    <w:basedOn w:val="Normal"/>
    <w:link w:val="BalloonTextChar"/>
    <w:rsid w:val="0084546F"/>
    <w:rPr>
      <w:rFonts w:ascii="Segoe UI" w:hAnsi="Segoe UI" w:cs="Segoe UI"/>
      <w:sz w:val="18"/>
      <w:szCs w:val="18"/>
    </w:rPr>
  </w:style>
  <w:style w:type="character" w:customStyle="1" w:styleId="BalloonTextChar">
    <w:name w:val="Balloon Text Char"/>
    <w:basedOn w:val="DefaultParagraphFont"/>
    <w:link w:val="BalloonText"/>
    <w:rsid w:val="0084546F"/>
    <w:rPr>
      <w:rFonts w:ascii="Segoe UI" w:hAnsi="Segoe UI" w:cs="Segoe UI"/>
      <w:snapToGrid w:val="0"/>
      <w:kern w:val="28"/>
      <w:sz w:val="18"/>
      <w:szCs w:val="18"/>
    </w:rPr>
  </w:style>
  <w:style w:type="character" w:styleId="CommentReference">
    <w:name w:val="annotation reference"/>
    <w:uiPriority w:val="99"/>
    <w:rsid w:val="0084546F"/>
    <w:rPr>
      <w:sz w:val="16"/>
      <w:szCs w:val="16"/>
    </w:rPr>
  </w:style>
  <w:style w:type="paragraph" w:styleId="CommentText">
    <w:name w:val="annotation text"/>
    <w:basedOn w:val="Normal"/>
    <w:link w:val="CommentTextChar"/>
    <w:uiPriority w:val="99"/>
    <w:rsid w:val="0084546F"/>
    <w:rPr>
      <w:sz w:val="20"/>
    </w:rPr>
  </w:style>
  <w:style w:type="character" w:customStyle="1" w:styleId="CommentTextChar">
    <w:name w:val="Comment Text Char"/>
    <w:basedOn w:val="DefaultParagraphFont"/>
    <w:link w:val="CommentText"/>
    <w:uiPriority w:val="99"/>
    <w:rsid w:val="0084546F"/>
    <w:rPr>
      <w:snapToGrid w:val="0"/>
      <w:kern w:val="28"/>
    </w:rPr>
  </w:style>
  <w:style w:type="paragraph" w:styleId="CommentSubject">
    <w:name w:val="annotation subject"/>
    <w:basedOn w:val="CommentText"/>
    <w:next w:val="CommentText"/>
    <w:link w:val="CommentSubjectChar"/>
    <w:rsid w:val="0084546F"/>
    <w:rPr>
      <w:b/>
      <w:bCs/>
    </w:rPr>
  </w:style>
  <w:style w:type="character" w:customStyle="1" w:styleId="CommentSubjectChar">
    <w:name w:val="Comment Subject Char"/>
    <w:basedOn w:val="CommentTextChar"/>
    <w:link w:val="CommentSubject"/>
    <w:rsid w:val="0084546F"/>
    <w:rPr>
      <w:b/>
      <w:bCs/>
      <w:snapToGrid w:val="0"/>
      <w:kern w:val="28"/>
    </w:rPr>
  </w:style>
  <w:style w:type="character" w:customStyle="1" w:styleId="Footnote">
    <w:name w:val="Footnote"/>
    <w:rsid w:val="0084546F"/>
    <w:rPr>
      <w:rFonts w:ascii="Times New Roman" w:hAnsi="Times New Roman" w:cs="Times New Roman" w:hint="default"/>
    </w:rPr>
  </w:style>
  <w:style w:type="paragraph" w:customStyle="1" w:styleId="ChecklistBullet">
    <w:name w:val="Checklist_Bullet"/>
    <w:basedOn w:val="Normal"/>
    <w:rsid w:val="0084546F"/>
    <w:pPr>
      <w:keepLines/>
      <w:widowControl/>
      <w:numPr>
        <w:numId w:val="7"/>
      </w:numPr>
      <w:spacing w:after="120" w:line="240" w:lineRule="atLeast"/>
      <w:ind w:right="346" w:firstLine="0"/>
    </w:pPr>
    <w:rPr>
      <w:snapToGrid/>
      <w:spacing w:val="-2"/>
      <w:kern w:val="0"/>
      <w:sz w:val="24"/>
    </w:rPr>
  </w:style>
  <w:style w:type="character" w:customStyle="1" w:styleId="Heading1Char">
    <w:name w:val="Heading 1 Char"/>
    <w:aliases w:val="H1 Char,Heading 1 Char Char Char Char,Heading 1 Char Char Char Char Char Char Char,Heading 1 Char Char1 Char Char,Heading 1 Char Char1 Char1,Heading 1 Char Char2 Char,Heading 1 Char1 Char Char,Heading 1 Char1 Char Char Char2 Char Char"/>
    <w:link w:val="Heading1"/>
    <w:rsid w:val="0084546F"/>
    <w:rPr>
      <w:rFonts w:ascii="Times New Roman Bold" w:hAnsi="Times New Roman Bold"/>
      <w:b/>
      <w:caps/>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84546F"/>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84546F"/>
    <w:rPr>
      <w:b/>
      <w:snapToGrid w:val="0"/>
      <w:kern w:val="28"/>
      <w:sz w:val="22"/>
    </w:rPr>
  </w:style>
  <w:style w:type="character" w:styleId="FollowedHyperlink">
    <w:name w:val="FollowedHyperlink"/>
    <w:rsid w:val="0084546F"/>
    <w:rPr>
      <w:color w:val="954F72"/>
      <w:u w:val="single"/>
    </w:rPr>
  </w:style>
  <w:style w:type="paragraph" w:customStyle="1" w:styleId="StyleParaNumItalic1">
    <w:name w:val="Style ParaNum + Italic1"/>
    <w:basedOn w:val="ParaNum"/>
    <w:link w:val="StyleParaNumItalic1Char"/>
    <w:uiPriority w:val="99"/>
    <w:rsid w:val="0084546F"/>
    <w:pPr>
      <w:numPr>
        <w:numId w:val="8"/>
      </w:numPr>
      <w:tabs>
        <w:tab w:val="left" w:pos="1440"/>
      </w:tabs>
    </w:pPr>
    <w:rPr>
      <w:i/>
      <w:snapToGrid/>
      <w:sz w:val="20"/>
    </w:rPr>
  </w:style>
  <w:style w:type="character" w:customStyle="1" w:styleId="StyleParaNumItalic1Char">
    <w:name w:val="Style ParaNum + Italic1 Char"/>
    <w:link w:val="StyleParaNumItalic1"/>
    <w:uiPriority w:val="99"/>
    <w:locked/>
    <w:rsid w:val="0084546F"/>
    <w:rPr>
      <w:i/>
      <w:kern w:val="28"/>
    </w:rPr>
  </w:style>
  <w:style w:type="character" w:customStyle="1" w:styleId="cosearchterm">
    <w:name w:val="co_searchterm"/>
    <w:rsid w:val="0084546F"/>
  </w:style>
  <w:style w:type="character" w:styleId="Emphasis">
    <w:name w:val="Emphasis"/>
    <w:uiPriority w:val="20"/>
    <w:qFormat/>
    <w:rsid w:val="0084546F"/>
    <w:rPr>
      <w:i/>
      <w:iCs/>
    </w:rPr>
  </w:style>
  <w:style w:type="paragraph" w:customStyle="1" w:styleId="StyleParaNumItalic">
    <w:name w:val="Style ParaNum + Italic"/>
    <w:basedOn w:val="ParaNum"/>
    <w:link w:val="StyleParaNumItalicChar"/>
    <w:rsid w:val="0084546F"/>
    <w:pPr>
      <w:widowControl/>
      <w:numPr>
        <w:numId w:val="0"/>
      </w:numPr>
      <w:tabs>
        <w:tab w:val="left" w:pos="1440"/>
      </w:tabs>
      <w:spacing w:after="240"/>
      <w:ind w:firstLine="720"/>
    </w:pPr>
    <w:rPr>
      <w:i/>
      <w:iCs/>
      <w:snapToGrid/>
    </w:rPr>
  </w:style>
  <w:style w:type="character" w:customStyle="1" w:styleId="StyleParaNumItalicChar">
    <w:name w:val="Style ParaNum + Italic Char"/>
    <w:link w:val="StyleParaNumItalic"/>
    <w:locked/>
    <w:rsid w:val="0084546F"/>
    <w:rPr>
      <w:i/>
      <w:iCs/>
      <w:kern w:val="28"/>
      <w:sz w:val="22"/>
    </w:rPr>
  </w:style>
  <w:style w:type="paragraph" w:styleId="ListParagraph">
    <w:name w:val="List Paragraph"/>
    <w:basedOn w:val="Normal"/>
    <w:uiPriority w:val="34"/>
    <w:qFormat/>
    <w:rsid w:val="0084546F"/>
    <w:pPr>
      <w:ind w:left="720"/>
      <w:contextualSpacing/>
    </w:pPr>
  </w:style>
  <w:style w:type="character" w:customStyle="1" w:styleId="FooterChar">
    <w:name w:val="Footer Char"/>
    <w:link w:val="Footer"/>
    <w:rsid w:val="0084546F"/>
    <w:rPr>
      <w:snapToGrid w:val="0"/>
      <w:kern w:val="28"/>
      <w:sz w:val="22"/>
    </w:rPr>
  </w:style>
  <w:style w:type="paragraph" w:styleId="Revision">
    <w:name w:val="Revision"/>
    <w:hidden/>
    <w:uiPriority w:val="99"/>
    <w:semiHidden/>
    <w:rsid w:val="0084546F"/>
    <w:rPr>
      <w:snapToGrid w:val="0"/>
      <w:kern w:val="28"/>
      <w:sz w:val="22"/>
    </w:rPr>
  </w:style>
  <w:style w:type="character" w:customStyle="1" w:styleId="apple-converted-space">
    <w:name w:val="apple-converted-space"/>
    <w:rsid w:val="0084546F"/>
  </w:style>
  <w:style w:type="paragraph" w:styleId="TOCHeading">
    <w:name w:val="TOC Heading"/>
    <w:basedOn w:val="Heading1"/>
    <w:next w:val="Normal"/>
    <w:uiPriority w:val="39"/>
    <w:unhideWhenUsed/>
    <w:qFormat/>
    <w:rsid w:val="0084546F"/>
    <w:pPr>
      <w:keepLines/>
      <w:widowControl/>
      <w:numPr>
        <w:numId w:val="0"/>
      </w:numPr>
      <w:tabs>
        <w:tab w:val="left" w:pos="720"/>
      </w:tabs>
      <w:suppressAutoHyphens w:val="0"/>
      <w:spacing w:before="240" w:after="0" w:line="259" w:lineRule="auto"/>
      <w:outlineLvl w:val="9"/>
    </w:pPr>
    <w:rPr>
      <w:rFonts w:ascii="Calibri Light" w:eastAsia="MS Gothic" w:hAnsi="Calibri Light"/>
      <w:b w:val="0"/>
      <w:caps w:val="0"/>
      <w:snapToGrid/>
      <w:color w:val="2E74B5"/>
      <w:kern w:val="0"/>
      <w:sz w:val="32"/>
      <w:szCs w:val="32"/>
    </w:rPr>
  </w:style>
  <w:style w:type="character" w:customStyle="1" w:styleId="Heading2Char">
    <w:name w:val="Heading 2 Char"/>
    <w:aliases w:val="Char Char,Heading 2 Char Char1 Char Char Char Char,Heading 2 Char Char1 Char Char Char Char Char Char,Heading 2 Char Char3 Char Char,Heading 2 Char1 Char Char,Heading 2 Char1 Char Char Char Char,Heading 2 Char1 Char1,h2 Cha Char"/>
    <w:link w:val="Heading2"/>
    <w:rsid w:val="0084546F"/>
    <w:rPr>
      <w:b/>
      <w:snapToGrid w:val="0"/>
      <w:kern w:val="28"/>
      <w:sz w:val="22"/>
    </w:rPr>
  </w:style>
  <w:style w:type="paragraph" w:customStyle="1" w:styleId="Default">
    <w:name w:val="Default"/>
    <w:rsid w:val="0084546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84546F"/>
    <w:rPr>
      <w:color w:val="808080"/>
      <w:shd w:val="clear" w:color="auto" w:fill="E6E6E6"/>
    </w:rPr>
  </w:style>
  <w:style w:type="character" w:customStyle="1" w:styleId="UnresolvedMention2">
    <w:name w:val="Unresolved Mention2"/>
    <w:uiPriority w:val="99"/>
    <w:semiHidden/>
    <w:unhideWhenUsed/>
    <w:rsid w:val="0084546F"/>
    <w:rPr>
      <w:color w:val="808080"/>
      <w:shd w:val="clear" w:color="auto" w:fill="E6E6E6"/>
    </w:rPr>
  </w:style>
  <w:style w:type="paragraph" w:styleId="NormalWeb">
    <w:name w:val="Normal (Web)"/>
    <w:basedOn w:val="Normal"/>
    <w:unhideWhenUsed/>
    <w:rsid w:val="0084546F"/>
    <w:rPr>
      <w:sz w:val="24"/>
      <w:szCs w:val="24"/>
    </w:rPr>
  </w:style>
  <w:style w:type="character" w:customStyle="1" w:styleId="UnresolvedMention3">
    <w:name w:val="Unresolved Mention3"/>
    <w:uiPriority w:val="99"/>
    <w:semiHidden/>
    <w:unhideWhenUsed/>
    <w:rsid w:val="0084546F"/>
    <w:rPr>
      <w:color w:val="808080"/>
      <w:shd w:val="clear" w:color="auto" w:fill="E6E6E6"/>
    </w:rPr>
  </w:style>
  <w:style w:type="paragraph" w:styleId="DocumentMap">
    <w:name w:val="Document Map"/>
    <w:basedOn w:val="Normal"/>
    <w:link w:val="DocumentMapChar"/>
    <w:unhideWhenUsed/>
    <w:rsid w:val="0084546F"/>
    <w:rPr>
      <w:rFonts w:ascii="Lucida Grande" w:hAnsi="Lucida Grande" w:cs="Lucida Grande"/>
      <w:sz w:val="24"/>
      <w:szCs w:val="24"/>
    </w:rPr>
  </w:style>
  <w:style w:type="character" w:customStyle="1" w:styleId="DocumentMapChar">
    <w:name w:val="Document Map Char"/>
    <w:basedOn w:val="DefaultParagraphFont"/>
    <w:link w:val="DocumentMap"/>
    <w:rsid w:val="0084546F"/>
    <w:rPr>
      <w:rFonts w:ascii="Lucida Grande" w:hAnsi="Lucida Grande" w:cs="Lucida Grande"/>
      <w:snapToGrid w:val="0"/>
      <w:kern w:val="28"/>
      <w:sz w:val="24"/>
      <w:szCs w:val="24"/>
    </w:rPr>
  </w:style>
  <w:style w:type="character" w:customStyle="1" w:styleId="UnresolvedMention">
    <w:name w:val="Unresolved Mention"/>
    <w:uiPriority w:val="99"/>
    <w:semiHidden/>
    <w:unhideWhenUsed/>
    <w:rsid w:val="008454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36CCB-C7ED-4F17-A7F6-D25BEBCF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2018-04-06T17:18:22Z</dcterms:created>
  <dcterms:modified xsi:type="dcterms:W3CDTF">2018-04-06T17:18:22Z</dcterms:modified>
</cp:coreProperties>
</file>