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9413C" w:rsidP="00E9413C">
      <w:bookmarkStart w:id="0" w:name="_GoBack"/>
      <w:bookmarkEnd w:id="0"/>
    </w:p>
    <w:p w:rsidR="00753EA4" w:rsidP="00E9413C"/>
    <w:p w:rsidR="00E9413C" w:rsidRPr="00862054" w:rsidP="00E9413C">
      <w:pPr>
        <w:jc w:val="center"/>
        <w:rPr>
          <w:b/>
          <w:sz w:val="36"/>
        </w:rPr>
      </w:pPr>
      <w:bookmarkStart w:id="1" w:name="_Toc393885832"/>
      <w:bookmarkStart w:id="2" w:name="_Toc479775710"/>
      <w:bookmarkStart w:id="3" w:name="_Toc480185616"/>
      <w:bookmarkStart w:id="4" w:name="_Toc480186018"/>
      <w:bookmarkStart w:id="5" w:name="_Toc480297589"/>
      <w:bookmarkStart w:id="6" w:name="_Toc480304742"/>
      <w:bookmarkStart w:id="7" w:name="_Toc480389930"/>
      <w:bookmarkStart w:id="8" w:name="_Toc480390107"/>
    </w:p>
    <w:p w:rsidR="00E9413C" w:rsidRPr="00862054" w:rsidP="00E9413C">
      <w:pPr>
        <w:jc w:val="center"/>
        <w:rPr>
          <w:b/>
          <w:sz w:val="36"/>
        </w:rPr>
      </w:pPr>
    </w:p>
    <w:p w:rsidR="00E9413C" w:rsidRPr="00434150" w:rsidP="00E9413C">
      <w:pPr>
        <w:jc w:val="center"/>
        <w:rPr>
          <w:b/>
          <w:sz w:val="36"/>
        </w:rPr>
      </w:pPr>
    </w:p>
    <w:p w:rsidR="00E9413C" w:rsidRPr="007E1EA4" w:rsidP="00E9413C">
      <w:pPr>
        <w:jc w:val="center"/>
        <w:rPr>
          <w:b/>
          <w:sz w:val="36"/>
        </w:rPr>
      </w:pPr>
    </w:p>
    <w:p w:rsidR="00E9413C" w:rsidP="00E9413C">
      <w:pPr>
        <w:jc w:val="center"/>
        <w:rPr>
          <w:b/>
          <w:sz w:val="36"/>
        </w:rPr>
      </w:pPr>
    </w:p>
    <w:p w:rsidR="00E9413C" w:rsidP="00E9413C">
      <w:pPr>
        <w:jc w:val="center"/>
        <w:rPr>
          <w:b/>
          <w:sz w:val="36"/>
        </w:rPr>
      </w:pPr>
      <w:bookmarkStart w:id="9" w:name="_Toc505854713"/>
    </w:p>
    <w:p w:rsidR="00E9413C" w:rsidP="00E9413C">
      <w:pPr>
        <w:jc w:val="center"/>
        <w:rPr>
          <w:b/>
          <w:sz w:val="36"/>
        </w:rPr>
      </w:pPr>
      <w:bookmarkStart w:id="10" w:name="_Toc393885833"/>
      <w:bookmarkEnd w:id="1"/>
    </w:p>
    <w:p w:rsidR="00C311BE" w:rsidP="00C311BE">
      <w:pPr>
        <w:jc w:val="center"/>
        <w:rPr>
          <w:rFonts w:ascii="Times New Roman,Castellar" w:eastAsia="Times New Roman,Castellar" w:hAnsi="Times New Roman,Castellar" w:cs="Times New Roman,Castellar"/>
          <w:b/>
          <w:bCs/>
          <w:sz w:val="36"/>
          <w:szCs w:val="36"/>
        </w:rPr>
      </w:pPr>
      <w:r w:rsidRPr="00D446F7">
        <w:rPr>
          <w:rFonts w:ascii="Times New Roman,Castellar" w:eastAsia="Times New Roman,Castellar" w:hAnsi="Times New Roman,Castellar" w:cs="Times New Roman,Castellar"/>
          <w:b/>
          <w:bCs/>
          <w:sz w:val="36"/>
          <w:szCs w:val="36"/>
        </w:rPr>
        <w:t>Report</w:t>
      </w:r>
      <w:r>
        <w:rPr>
          <w:rFonts w:ascii="Times New Roman,Castellar" w:eastAsia="Times New Roman,Castellar" w:hAnsi="Times New Roman,Castellar" w:cs="Times New Roman,Castellar"/>
          <w:b/>
          <w:bCs/>
          <w:sz w:val="36"/>
          <w:szCs w:val="36"/>
        </w:rPr>
        <w:t xml:space="preserve"> and Recommendations</w:t>
      </w:r>
    </w:p>
    <w:p w:rsidR="00C311BE" w:rsidRPr="003B50B9" w:rsidP="00C311BE">
      <w:pPr>
        <w:jc w:val="center"/>
        <w:rPr>
          <w:rFonts w:eastAsia="Calibri"/>
          <w:b/>
          <w:snapToGrid/>
          <w:kern w:val="0"/>
          <w:sz w:val="36"/>
          <w:szCs w:val="22"/>
        </w:rPr>
      </w:pPr>
    </w:p>
    <w:p w:rsidR="00C311BE" w:rsidP="00C311BE">
      <w:pPr>
        <w:jc w:val="center"/>
        <w:rPr>
          <w:b/>
          <w:sz w:val="36"/>
        </w:rPr>
      </w:pPr>
      <w:r>
        <w:rPr>
          <w:b/>
          <w:sz w:val="36"/>
        </w:rPr>
        <w:t xml:space="preserve">Hawaii Emergency Management Agency </w:t>
      </w:r>
    </w:p>
    <w:p w:rsidR="00E9413C" w:rsidP="00C311BE">
      <w:pPr>
        <w:jc w:val="center"/>
        <w:rPr>
          <w:b/>
          <w:sz w:val="36"/>
        </w:rPr>
      </w:pPr>
      <w:r>
        <w:rPr>
          <w:b/>
          <w:sz w:val="36"/>
        </w:rPr>
        <w:t>January 13, 2018</w:t>
      </w:r>
      <w:r w:rsidRPr="00D446F7">
        <w:rPr>
          <w:b/>
          <w:sz w:val="36"/>
        </w:rPr>
        <w:t xml:space="preserve"> </w:t>
      </w:r>
      <w:r>
        <w:rPr>
          <w:b/>
          <w:sz w:val="36"/>
        </w:rPr>
        <w:t>False Alert</w:t>
      </w:r>
      <w:r w:rsidRPr="00D446F7">
        <w:rPr>
          <w:b/>
          <w:sz w:val="36"/>
        </w:rPr>
        <w:t xml:space="preserve"> </w:t>
      </w:r>
      <w:bookmarkStart w:id="11" w:name="_Toc393885834"/>
      <w:bookmarkEnd w:id="10"/>
    </w:p>
    <w:p w:rsidR="00E9413C" w:rsidP="00E9413C">
      <w:pPr>
        <w:jc w:val="center"/>
        <w:rPr>
          <w:b/>
          <w:sz w:val="36"/>
        </w:rPr>
      </w:pPr>
    </w:p>
    <w:p w:rsidR="00E9413C" w:rsidRPr="00D446F7" w:rsidP="00E9413C">
      <w:pPr>
        <w:jc w:val="right"/>
        <w:rPr>
          <w:sz w:val="36"/>
        </w:rPr>
      </w:pPr>
      <w:bookmarkEnd w:id="11"/>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rPr>
          <w:sz w:val="36"/>
        </w:rPr>
      </w:pPr>
    </w:p>
    <w:p w:rsidR="00E9413C" w:rsidRPr="00D446F7" w:rsidP="00E9413C">
      <w:pPr>
        <w:jc w:val="right"/>
        <w:rPr>
          <w:sz w:val="36"/>
        </w:rPr>
      </w:pPr>
    </w:p>
    <w:p w:rsidR="00E9413C" w:rsidRPr="00D446F7" w:rsidP="00E9413C">
      <w:pPr>
        <w:jc w:val="right"/>
        <w:rPr>
          <w:sz w:val="36"/>
        </w:rPr>
      </w:pPr>
    </w:p>
    <w:p w:rsidR="00E9413C" w:rsidRPr="00D446F7" w:rsidP="00E9413C">
      <w:pPr>
        <w:jc w:val="right"/>
        <w:rPr>
          <w:rFonts w:eastAsia="Calibri"/>
          <w:snapToGrid/>
          <w:kern w:val="0"/>
          <w:sz w:val="36"/>
          <w:szCs w:val="22"/>
        </w:rPr>
      </w:pPr>
      <w:r w:rsidRPr="00D446F7">
        <w:rPr>
          <w:sz w:val="36"/>
        </w:rPr>
        <w:t>A Report of the Public Safety and Homeland Security Bureau</w:t>
      </w:r>
    </w:p>
    <w:p w:rsidR="00E9413C" w:rsidRPr="00D446F7" w:rsidP="00E9413C">
      <w:pPr>
        <w:jc w:val="right"/>
        <w:rPr>
          <w:rFonts w:eastAsia="Calibri"/>
          <w:snapToGrid/>
          <w:kern w:val="0"/>
          <w:sz w:val="36"/>
          <w:szCs w:val="22"/>
        </w:rPr>
      </w:pPr>
      <w:r w:rsidRPr="00D446F7">
        <w:rPr>
          <w:sz w:val="36"/>
        </w:rPr>
        <w:t>Federal Communications Commission</w:t>
      </w:r>
    </w:p>
    <w:p w:rsidR="00E9413C" w:rsidP="00E9413C">
      <w:pPr>
        <w:jc w:val="right"/>
        <w:rPr>
          <w:sz w:val="36"/>
        </w:rPr>
      </w:pPr>
      <w:r>
        <w:rPr>
          <w:sz w:val="36"/>
        </w:rPr>
        <w:t xml:space="preserve">April </w:t>
      </w:r>
      <w:r>
        <w:rPr>
          <w:sz w:val="36"/>
        </w:rPr>
        <w:t>2018</w:t>
      </w:r>
      <w:r>
        <w:rPr>
          <w:sz w:val="36"/>
        </w:rPr>
        <w:br w:type="page"/>
      </w:r>
    </w:p>
    <w:p w:rsidR="00E9413C" w:rsidRPr="00D446F7" w:rsidP="00E9413C">
      <w:pPr>
        <w:jc w:val="right"/>
        <w:rPr>
          <w:b/>
          <w:sz w:val="24"/>
          <w:szCs w:val="24"/>
        </w:rPr>
      </w:pPr>
    </w:p>
    <w:sdt>
      <w:sdtPr>
        <w:rPr>
          <w:rFonts w:ascii="Times New Roman" w:eastAsia="Times New Roman" w:hAnsi="Times New Roman" w:cs="Times New Roman"/>
          <w:snapToGrid w:val="0"/>
          <w:color w:val="auto"/>
          <w:kern w:val="28"/>
          <w:sz w:val="22"/>
          <w:szCs w:val="20"/>
        </w:rPr>
        <w:id w:val="1511797012"/>
        <w:docPartObj>
          <w:docPartGallery w:val="Table of Contents"/>
          <w:docPartUnique/>
        </w:docPartObj>
      </w:sdtPr>
      <w:sdtEndPr>
        <w:rPr>
          <w:b/>
          <w:bCs/>
          <w:noProof/>
        </w:rPr>
      </w:sdtEndPr>
      <w:sdtContent>
        <w:p w:rsidR="00E9413C" w:rsidP="00E9413C">
          <w:pPr>
            <w:pStyle w:val="TOCHeading"/>
            <w:jc w:val="center"/>
            <w:rPr>
              <w:rFonts w:ascii="Times New Roman" w:hAnsi="Times New Roman" w:cs="Times New Roman"/>
              <w:b/>
              <w:color w:val="auto"/>
            </w:rPr>
          </w:pPr>
          <w:r w:rsidRPr="0034534A">
            <w:rPr>
              <w:rFonts w:ascii="Times New Roman" w:hAnsi="Times New Roman" w:cs="Times New Roman"/>
              <w:b/>
              <w:color w:val="auto"/>
            </w:rPr>
            <w:t>Table of Contents</w:t>
          </w:r>
        </w:p>
        <w:p w:rsidR="00E9413C" w:rsidP="00E9413C">
          <w:pPr>
            <w:rPr>
              <w:b/>
            </w:rPr>
          </w:pPr>
          <w:r w:rsidRPr="0034534A">
            <w:rPr>
              <w:b/>
            </w:rPr>
            <w:t>Heading</w:t>
          </w:r>
          <w:r w:rsidRPr="0034534A">
            <w:rPr>
              <w:b/>
            </w:rPr>
            <w:tab/>
          </w:r>
          <w:r w:rsidRPr="0034534A">
            <w:rPr>
              <w:b/>
            </w:rPr>
            <w:tab/>
          </w:r>
          <w:r w:rsidRPr="0034534A">
            <w:rPr>
              <w:b/>
            </w:rPr>
            <w:tab/>
          </w:r>
          <w:r w:rsidRPr="0034534A">
            <w:rPr>
              <w:b/>
            </w:rPr>
            <w:tab/>
          </w:r>
          <w:r w:rsidRPr="0034534A">
            <w:rPr>
              <w:b/>
            </w:rPr>
            <w:tab/>
          </w:r>
          <w:r w:rsidRPr="0034534A">
            <w:rPr>
              <w:b/>
            </w:rPr>
            <w:tab/>
          </w:r>
          <w:r w:rsidRPr="0034534A">
            <w:rPr>
              <w:b/>
            </w:rPr>
            <w:tab/>
          </w:r>
          <w:r w:rsidRPr="0034534A">
            <w:rPr>
              <w:b/>
            </w:rPr>
            <w:tab/>
          </w:r>
          <w:r w:rsidRPr="0034534A">
            <w:rPr>
              <w:b/>
            </w:rPr>
            <w:tab/>
          </w:r>
          <w:r w:rsidRPr="0034534A">
            <w:rPr>
              <w:b/>
            </w:rPr>
            <w:tab/>
          </w:r>
          <w:r w:rsidRPr="0034534A">
            <w:rPr>
              <w:b/>
            </w:rPr>
            <w:tab/>
          </w:r>
          <w:r>
            <w:rPr>
              <w:b/>
            </w:rPr>
            <w:t xml:space="preserve"> </w:t>
          </w:r>
          <w:r w:rsidRPr="0034534A">
            <w:rPr>
              <w:b/>
            </w:rPr>
            <w:t>Page #</w:t>
          </w:r>
          <w:r w:rsidRPr="0034534A">
            <w:rPr>
              <w:b/>
            </w:rPr>
            <w:tab/>
          </w:r>
        </w:p>
        <w:p w:rsidR="00E9413C" w:rsidRPr="0034534A" w:rsidP="00E9413C">
          <w:pPr>
            <w:rPr>
              <w:b/>
            </w:rPr>
          </w:pPr>
        </w:p>
        <w:p w:rsidR="00865424">
          <w:pPr>
            <w:pStyle w:val="TOC1"/>
            <w:rPr>
              <w:rFonts w:asciiTheme="minorHAnsi" w:eastAsiaTheme="minorEastAsia" w:hAnsiTheme="minorHAnsi" w:cstheme="minorBidi"/>
              <w:caps w:val="0"/>
              <w:snapToGrid/>
              <w:kern w:val="0"/>
              <w:szCs w:val="22"/>
            </w:rPr>
          </w:pPr>
          <w:r>
            <w:fldChar w:fldCharType="begin"/>
          </w:r>
          <w:r>
            <w:instrText xml:space="preserve"> TOC \o "1-3" \h \z \u </w:instrText>
          </w:r>
          <w:r>
            <w:fldChar w:fldCharType="separate"/>
          </w:r>
          <w:r>
            <w:fldChar w:fldCharType="begin"/>
          </w:r>
          <w:r>
            <w:instrText xml:space="preserve"> HYPERLINK \l "_Toc511031489" </w:instrText>
          </w:r>
          <w:r>
            <w:fldChar w:fldCharType="separate"/>
          </w:r>
          <w:r w:rsidRPr="000443AD">
            <w:rPr>
              <w:rStyle w:val="Hyperlink"/>
            </w:rPr>
            <w:t>I.</w:t>
          </w:r>
          <w:r>
            <w:rPr>
              <w:rFonts w:asciiTheme="minorHAnsi" w:eastAsiaTheme="minorEastAsia" w:hAnsiTheme="minorHAnsi" w:cstheme="minorBidi"/>
              <w:caps w:val="0"/>
              <w:snapToGrid/>
              <w:kern w:val="0"/>
              <w:szCs w:val="22"/>
            </w:rPr>
            <w:tab/>
          </w:r>
          <w:r w:rsidRPr="000443AD">
            <w:rPr>
              <w:rStyle w:val="Hyperlink"/>
            </w:rPr>
            <w:t>EXECUTIVE SUMMARY</w:t>
          </w:r>
          <w:r>
            <w:rPr>
              <w:webHidden/>
            </w:rPr>
            <w:tab/>
          </w:r>
          <w:r>
            <w:rPr>
              <w:webHidden/>
            </w:rPr>
            <w:fldChar w:fldCharType="begin"/>
          </w:r>
          <w:r>
            <w:rPr>
              <w:webHidden/>
            </w:rPr>
            <w:instrText xml:space="preserve"> PAGEREF _Toc511031489 \h </w:instrText>
          </w:r>
          <w:r>
            <w:rPr>
              <w:webHidden/>
            </w:rPr>
            <w:fldChar w:fldCharType="separate"/>
          </w:r>
          <w:r w:rsidR="00520284">
            <w:rPr>
              <w:webHidden/>
            </w:rPr>
            <w:t>3</w:t>
          </w:r>
          <w:r>
            <w:rPr>
              <w:webHidden/>
            </w:rPr>
            <w:fldChar w:fldCharType="end"/>
          </w:r>
          <w:r>
            <w:fldChar w:fldCharType="end"/>
          </w:r>
        </w:p>
        <w:p w:rsidR="00865424">
          <w:pPr>
            <w:pStyle w:val="TOC1"/>
            <w:rPr>
              <w:rFonts w:asciiTheme="minorHAnsi" w:eastAsiaTheme="minorEastAsia" w:hAnsiTheme="minorHAnsi" w:cstheme="minorBidi"/>
              <w:caps w:val="0"/>
              <w:snapToGrid/>
              <w:kern w:val="0"/>
              <w:szCs w:val="22"/>
            </w:rPr>
          </w:pPr>
          <w:r>
            <w:fldChar w:fldCharType="begin"/>
          </w:r>
          <w:r>
            <w:instrText xml:space="preserve"> HYPERLINK \l "_Toc511031490" </w:instrText>
          </w:r>
          <w:r>
            <w:fldChar w:fldCharType="separate"/>
          </w:r>
          <w:r w:rsidRPr="000443AD">
            <w:rPr>
              <w:rStyle w:val="Hyperlink"/>
            </w:rPr>
            <w:t>II.</w:t>
          </w:r>
          <w:r>
            <w:rPr>
              <w:rFonts w:asciiTheme="minorHAnsi" w:eastAsiaTheme="minorEastAsia" w:hAnsiTheme="minorHAnsi" w:cstheme="minorBidi"/>
              <w:caps w:val="0"/>
              <w:snapToGrid/>
              <w:kern w:val="0"/>
              <w:szCs w:val="22"/>
            </w:rPr>
            <w:tab/>
          </w:r>
          <w:r w:rsidRPr="000443AD">
            <w:rPr>
              <w:rStyle w:val="Hyperlink"/>
            </w:rPr>
            <w:t>BACKGROUND</w:t>
          </w:r>
          <w:r>
            <w:rPr>
              <w:webHidden/>
            </w:rPr>
            <w:tab/>
          </w:r>
          <w:r>
            <w:rPr>
              <w:webHidden/>
            </w:rPr>
            <w:fldChar w:fldCharType="begin"/>
          </w:r>
          <w:r>
            <w:rPr>
              <w:webHidden/>
            </w:rPr>
            <w:instrText xml:space="preserve"> PAGEREF _Toc511031490 \h </w:instrText>
          </w:r>
          <w:r>
            <w:rPr>
              <w:webHidden/>
            </w:rPr>
            <w:fldChar w:fldCharType="separate"/>
          </w:r>
          <w:r w:rsidR="00520284">
            <w:rPr>
              <w:webHidden/>
            </w:rPr>
            <w:t>6</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"_Toc511031491" </w:instrText>
          </w:r>
          <w:r>
            <w:fldChar w:fldCharType="separate"/>
          </w:r>
          <w:r w:rsidRPr="000443AD">
            <w:rPr>
              <w:rStyle w:val="Hyperlink"/>
            </w:rPr>
            <w:t>A.</w:t>
          </w:r>
          <w:r>
            <w:rPr>
              <w:rFonts w:asciiTheme="minorHAnsi" w:eastAsiaTheme="minorEastAsia" w:hAnsiTheme="minorHAnsi" w:cstheme="minorBidi"/>
              <w:snapToGrid/>
              <w:kern w:val="0"/>
              <w:szCs w:val="22"/>
            </w:rPr>
            <w:tab/>
          </w:r>
          <w:r w:rsidRPr="000443AD">
            <w:rPr>
              <w:rStyle w:val="Hyperlink"/>
            </w:rPr>
            <w:t>The Emergency Alert System</w:t>
          </w:r>
          <w:r>
            <w:rPr>
              <w:webHidden/>
            </w:rPr>
            <w:tab/>
          </w:r>
          <w:r>
            <w:rPr>
              <w:webHidden/>
            </w:rPr>
            <w:fldChar w:fldCharType="begin"/>
          </w:r>
          <w:r>
            <w:rPr>
              <w:webHidden/>
            </w:rPr>
            <w:instrText xml:space="preserve"> PAGEREF _Toc511031491 \h </w:instrText>
          </w:r>
          <w:r>
            <w:rPr>
              <w:webHidden/>
            </w:rPr>
            <w:fldChar w:fldCharType="separate"/>
          </w:r>
          <w:r w:rsidR="00520284">
            <w:rPr>
              <w:webHidden/>
            </w:rPr>
            <w:t>6</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"_Toc511031492" </w:instrText>
          </w:r>
          <w:r>
            <w:fldChar w:fldCharType="separate"/>
          </w:r>
          <w:r w:rsidRPr="000443AD">
            <w:rPr>
              <w:rStyle w:val="Hyperlink"/>
            </w:rPr>
            <w:t>B.</w:t>
          </w:r>
          <w:r>
            <w:rPr>
              <w:rFonts w:asciiTheme="minorHAnsi" w:eastAsiaTheme="minorEastAsia" w:hAnsiTheme="minorHAnsi" w:cstheme="minorBidi"/>
              <w:snapToGrid/>
              <w:kern w:val="0"/>
              <w:szCs w:val="22"/>
            </w:rPr>
            <w:tab/>
          </w:r>
          <w:r w:rsidRPr="000443AD">
            <w:rPr>
              <w:rStyle w:val="Hyperlink"/>
            </w:rPr>
            <w:t>Wireless Emergency Alerts</w:t>
          </w:r>
          <w:r>
            <w:rPr>
              <w:webHidden/>
            </w:rPr>
            <w:tab/>
          </w:r>
          <w:r>
            <w:rPr>
              <w:webHidden/>
            </w:rPr>
            <w:fldChar w:fldCharType="begin"/>
          </w:r>
          <w:r>
            <w:rPr>
              <w:webHidden/>
            </w:rPr>
            <w:instrText xml:space="preserve"> PAGEREF _Toc511031492 \h </w:instrText>
          </w:r>
          <w:r>
            <w:rPr>
              <w:webHidden/>
            </w:rPr>
            <w:fldChar w:fldCharType="separate"/>
          </w:r>
          <w:r w:rsidR="00520284">
            <w:rPr>
              <w:webHidden/>
            </w:rPr>
            <w:t>7</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"_Toc511031493" </w:instrText>
          </w:r>
          <w:r>
            <w:fldChar w:fldCharType="separate"/>
          </w:r>
          <w:r w:rsidRPr="000443AD">
            <w:rPr>
              <w:rStyle w:val="Hyperlink"/>
            </w:rPr>
            <w:t>C.</w:t>
          </w:r>
          <w:r>
            <w:rPr>
              <w:rFonts w:asciiTheme="minorHAnsi" w:eastAsiaTheme="minorEastAsia" w:hAnsiTheme="minorHAnsi" w:cstheme="minorBidi"/>
              <w:snapToGrid/>
              <w:kern w:val="0"/>
              <w:szCs w:val="22"/>
            </w:rPr>
            <w:tab/>
          </w:r>
          <w:r w:rsidRPr="000443AD">
            <w:rPr>
              <w:rStyle w:val="Hyperlink"/>
            </w:rPr>
            <w:t>Testing of the National Emergency Alert and Warning Systems</w:t>
          </w:r>
          <w:r>
            <w:rPr>
              <w:webHidden/>
            </w:rPr>
            <w:tab/>
          </w:r>
          <w:r>
            <w:rPr>
              <w:webHidden/>
            </w:rPr>
            <w:fldChar w:fldCharType="begin"/>
          </w:r>
          <w:r>
            <w:rPr>
              <w:webHidden/>
            </w:rPr>
            <w:instrText xml:space="preserve"> PAGEREF _Toc511031493 \h </w:instrText>
          </w:r>
          <w:r>
            <w:rPr>
              <w:webHidden/>
            </w:rPr>
            <w:fldChar w:fldCharType="separate"/>
          </w:r>
          <w:r w:rsidR="00520284">
            <w:rPr>
              <w:webHidden/>
            </w:rPr>
            <w:t>8</w:t>
          </w:r>
          <w:r>
            <w:rPr>
              <w:webHidden/>
            </w:rPr>
            <w:fldChar w:fldCharType="end"/>
          </w:r>
          <w:r>
            <w:fldChar w:fldCharType="end"/>
          </w:r>
        </w:p>
        <w:p w:rsidR="00865424">
          <w:pPr>
            <w:pStyle w:val="TOC1"/>
            <w:rPr>
              <w:rFonts w:asciiTheme="minorHAnsi" w:eastAsiaTheme="minorEastAsia" w:hAnsiTheme="minorHAnsi" w:cstheme="minorBidi"/>
              <w:caps w:val="0"/>
              <w:snapToGrid/>
              <w:kern w:val="0"/>
              <w:szCs w:val="22"/>
            </w:rPr>
          </w:pPr>
          <w:r>
            <w:fldChar w:fldCharType="begin"/>
          </w:r>
          <w:r>
            <w:instrText xml:space="preserve"> HYPERLINK \l "_Toc511031494" </w:instrText>
          </w:r>
          <w:r>
            <w:fldChar w:fldCharType="separate"/>
          </w:r>
          <w:r w:rsidRPr="000443AD">
            <w:rPr>
              <w:rStyle w:val="Hyperlink"/>
            </w:rPr>
            <w:t>III.</w:t>
          </w:r>
          <w:r>
            <w:rPr>
              <w:rFonts w:asciiTheme="minorHAnsi" w:eastAsiaTheme="minorEastAsia" w:hAnsiTheme="minorHAnsi" w:cstheme="minorBidi"/>
              <w:caps w:val="0"/>
              <w:snapToGrid/>
              <w:kern w:val="0"/>
              <w:szCs w:val="22"/>
            </w:rPr>
            <w:tab/>
          </w:r>
          <w:r w:rsidRPr="000443AD">
            <w:rPr>
              <w:rStyle w:val="Hyperlink"/>
            </w:rPr>
            <w:t>FACTUAL FINDINGS</w:t>
          </w:r>
          <w:r>
            <w:rPr>
              <w:webHidden/>
            </w:rPr>
            <w:tab/>
          </w:r>
          <w:r>
            <w:rPr>
              <w:webHidden/>
            </w:rPr>
            <w:fldChar w:fldCharType="begin"/>
          </w:r>
          <w:r>
            <w:rPr>
              <w:webHidden/>
            </w:rPr>
            <w:instrText xml:space="preserve"> PAGEREF _Toc511031494 \h </w:instrText>
          </w:r>
          <w:r>
            <w:rPr>
              <w:webHidden/>
            </w:rPr>
            <w:fldChar w:fldCharType="separate"/>
          </w:r>
          <w:r w:rsidR="00520284">
            <w:rPr>
              <w:webHidden/>
            </w:rPr>
            <w:t>9</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"_Toc511031495" </w:instrText>
          </w:r>
          <w:r>
            <w:fldChar w:fldCharType="separate"/>
          </w:r>
          <w:r w:rsidRPr="000443AD">
            <w:rPr>
              <w:rStyle w:val="Hyperlink"/>
            </w:rPr>
            <w:t>A.</w:t>
          </w:r>
          <w:r>
            <w:rPr>
              <w:rFonts w:asciiTheme="minorHAnsi" w:eastAsiaTheme="minorEastAsia" w:hAnsiTheme="minorHAnsi" w:cstheme="minorBidi"/>
              <w:snapToGrid/>
              <w:kern w:val="0"/>
              <w:szCs w:val="22"/>
            </w:rPr>
            <w:tab/>
          </w:r>
          <w:r w:rsidRPr="000443AD">
            <w:rPr>
              <w:rStyle w:val="Hyperlink"/>
            </w:rPr>
            <w:t>Issuance of the False Ballistic Missile Alert</w:t>
          </w:r>
          <w:r>
            <w:rPr>
              <w:webHidden/>
            </w:rPr>
            <w:tab/>
          </w:r>
          <w:r>
            <w:rPr>
              <w:webHidden/>
            </w:rPr>
            <w:fldChar w:fldCharType="begin"/>
          </w:r>
          <w:r>
            <w:rPr>
              <w:webHidden/>
            </w:rPr>
            <w:instrText xml:space="preserve"> PAGEREF _Toc511031495 \h </w:instrText>
          </w:r>
          <w:r>
            <w:rPr>
              <w:webHidden/>
            </w:rPr>
            <w:fldChar w:fldCharType="separate"/>
          </w:r>
          <w:r w:rsidR="00520284">
            <w:rPr>
              <w:webHidden/>
            </w:rPr>
            <w:t>9</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"_Toc511031496" </w:instrText>
          </w:r>
          <w:r>
            <w:fldChar w:fldCharType="separate"/>
          </w:r>
          <w:r w:rsidRPr="000443AD">
            <w:rPr>
              <w:rStyle w:val="Hyperlink"/>
            </w:rPr>
            <w:t>1.</w:t>
          </w:r>
          <w:r>
            <w:rPr>
              <w:rFonts w:asciiTheme="minorHAnsi" w:eastAsiaTheme="minorEastAsia" w:hAnsiTheme="minorHAnsi" w:cstheme="minorBidi"/>
              <w:snapToGrid/>
              <w:kern w:val="0"/>
              <w:szCs w:val="22"/>
            </w:rPr>
            <w:tab/>
          </w:r>
          <w:r w:rsidRPr="000443AD">
            <w:rPr>
              <w:rStyle w:val="Hyperlink"/>
            </w:rPr>
            <w:t>Hawaii Emergency Management Agency’s Alerting Role.</w:t>
          </w:r>
          <w:r>
            <w:rPr>
              <w:webHidden/>
            </w:rPr>
            <w:tab/>
          </w:r>
          <w:r>
            <w:rPr>
              <w:webHidden/>
            </w:rPr>
            <w:fldChar w:fldCharType="begin"/>
          </w:r>
          <w:r>
            <w:rPr>
              <w:webHidden/>
            </w:rPr>
            <w:instrText xml:space="preserve"> PAGEREF _Toc511031496 \h </w:instrText>
          </w:r>
          <w:r>
            <w:rPr>
              <w:webHidden/>
            </w:rPr>
            <w:fldChar w:fldCharType="separate"/>
          </w:r>
          <w:r w:rsidR="00520284">
            <w:rPr>
              <w:webHidden/>
            </w:rPr>
            <w:t>9</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"_Toc511031497" </w:instrText>
          </w:r>
          <w:r>
            <w:fldChar w:fldCharType="separate"/>
          </w:r>
          <w:r w:rsidRPr="000443AD">
            <w:rPr>
              <w:rStyle w:val="Hyperlink"/>
            </w:rPr>
            <w:t>2.</w:t>
          </w:r>
          <w:r>
            <w:rPr>
              <w:rFonts w:asciiTheme="minorHAnsi" w:eastAsiaTheme="minorEastAsia" w:hAnsiTheme="minorHAnsi" w:cstheme="minorBidi"/>
              <w:snapToGrid/>
              <w:kern w:val="0"/>
              <w:szCs w:val="22"/>
            </w:rPr>
            <w:tab/>
          </w:r>
          <w:r w:rsidRPr="000443AD">
            <w:rPr>
              <w:rStyle w:val="Hyperlink"/>
            </w:rPr>
            <w:t>HI-EMA Ballistic Missile Drills and Defense Training Protocol.</w:t>
          </w:r>
          <w:r>
            <w:rPr>
              <w:webHidden/>
            </w:rPr>
            <w:tab/>
          </w:r>
          <w:r>
            <w:rPr>
              <w:webHidden/>
            </w:rPr>
            <w:fldChar w:fldCharType="begin"/>
          </w:r>
          <w:r>
            <w:rPr>
              <w:webHidden/>
            </w:rPr>
            <w:instrText xml:space="preserve"> PAGEREF _Toc511031497 \h </w:instrText>
          </w:r>
          <w:r>
            <w:rPr>
              <w:webHidden/>
            </w:rPr>
            <w:fldChar w:fldCharType="separate"/>
          </w:r>
          <w:r w:rsidR="00520284">
            <w:rPr>
              <w:webHidden/>
            </w:rPr>
            <w:t>10</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"_Toc511031498" </w:instrText>
          </w:r>
          <w:r>
            <w:fldChar w:fldCharType="separate"/>
          </w:r>
          <w:r w:rsidRPr="000443AD">
            <w:rPr>
              <w:rStyle w:val="Hyperlink"/>
            </w:rPr>
            <w:t>3.</w:t>
          </w:r>
          <w:r>
            <w:rPr>
              <w:rFonts w:asciiTheme="minorHAnsi" w:eastAsiaTheme="minorEastAsia" w:hAnsiTheme="minorHAnsi" w:cstheme="minorBidi"/>
              <w:snapToGrid/>
              <w:kern w:val="0"/>
              <w:szCs w:val="22"/>
            </w:rPr>
            <w:tab/>
          </w:r>
          <w:r w:rsidRPr="000443AD">
            <w:rPr>
              <w:rStyle w:val="Hyperlink"/>
            </w:rPr>
            <w:t>False Ballistic Missile Alert Timeline.</w:t>
          </w:r>
          <w:r>
            <w:rPr>
              <w:webHidden/>
            </w:rPr>
            <w:tab/>
          </w:r>
          <w:r>
            <w:rPr>
              <w:webHidden/>
            </w:rPr>
            <w:fldChar w:fldCharType="begin"/>
          </w:r>
          <w:r>
            <w:rPr>
              <w:webHidden/>
            </w:rPr>
            <w:instrText xml:space="preserve"> PAGEREF _Toc511031498 \h </w:instrText>
          </w:r>
          <w:r>
            <w:rPr>
              <w:webHidden/>
            </w:rPr>
            <w:fldChar w:fldCharType="separate"/>
          </w:r>
          <w:r w:rsidR="00520284">
            <w:rPr>
              <w:webHidden/>
            </w:rPr>
            <w:t>11</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"_Toc511031499" </w:instrText>
          </w:r>
          <w:r>
            <w:fldChar w:fldCharType="separate"/>
          </w:r>
          <w:r w:rsidRPr="000443AD">
            <w:rPr>
              <w:rStyle w:val="Hyperlink"/>
            </w:rPr>
            <w:t>B.</w:t>
          </w:r>
          <w:r>
            <w:rPr>
              <w:rFonts w:asciiTheme="minorHAnsi" w:eastAsiaTheme="minorEastAsia" w:hAnsiTheme="minorHAnsi" w:cstheme="minorBidi"/>
              <w:snapToGrid/>
              <w:kern w:val="0"/>
              <w:szCs w:val="22"/>
            </w:rPr>
            <w:tab/>
          </w:r>
          <w:r w:rsidRPr="000443AD">
            <w:rPr>
              <w:rStyle w:val="Hyperlink"/>
            </w:rPr>
            <w:t>Causes Leading to the False Alert and Corresponding Delay in Corrective Action</w:t>
          </w:r>
          <w:r>
            <w:rPr>
              <w:webHidden/>
            </w:rPr>
            <w:tab/>
          </w:r>
          <w:r>
            <w:rPr>
              <w:webHidden/>
            </w:rPr>
            <w:fldChar w:fldCharType="begin"/>
          </w:r>
          <w:r>
            <w:rPr>
              <w:webHidden/>
            </w:rPr>
            <w:instrText xml:space="preserve"> PAGEREF _Toc511031499 \h </w:instrText>
          </w:r>
          <w:r>
            <w:rPr>
              <w:webHidden/>
            </w:rPr>
            <w:fldChar w:fldCharType="separate"/>
          </w:r>
          <w:r w:rsidR="00520284">
            <w:rPr>
              <w:webHidden/>
            </w:rPr>
            <w:t>14</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"_Toc511031500" </w:instrText>
          </w:r>
          <w:r>
            <w:fldChar w:fldCharType="separate"/>
          </w:r>
          <w:r w:rsidRPr="000443AD">
            <w:rPr>
              <w:rStyle w:val="Hyperlink"/>
            </w:rPr>
            <w:t>C.</w:t>
          </w:r>
          <w:r>
            <w:rPr>
              <w:rFonts w:asciiTheme="minorHAnsi" w:eastAsiaTheme="minorEastAsia" w:hAnsiTheme="minorHAnsi" w:cstheme="minorBidi"/>
              <w:snapToGrid/>
              <w:kern w:val="0"/>
              <w:szCs w:val="22"/>
            </w:rPr>
            <w:tab/>
          </w:r>
          <w:r w:rsidRPr="000443AD">
            <w:rPr>
              <w:rStyle w:val="Hyperlink"/>
            </w:rPr>
            <w:t>Performance of the Nationwide Alert Systems</w:t>
          </w:r>
          <w:r>
            <w:rPr>
              <w:webHidden/>
            </w:rPr>
            <w:tab/>
          </w:r>
          <w:r>
            <w:rPr>
              <w:webHidden/>
            </w:rPr>
            <w:fldChar w:fldCharType="begin"/>
          </w:r>
          <w:r>
            <w:rPr>
              <w:webHidden/>
            </w:rPr>
            <w:instrText xml:space="preserve"> PAGEREF _Toc511031500 \h </w:instrText>
          </w:r>
          <w:r>
            <w:rPr>
              <w:webHidden/>
            </w:rPr>
            <w:fldChar w:fldCharType="separate"/>
          </w:r>
          <w:r w:rsidR="00520284">
            <w:rPr>
              <w:webHidden/>
            </w:rPr>
            <w:t>18</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"_Toc511031501" </w:instrText>
          </w:r>
          <w:r>
            <w:fldChar w:fldCharType="separate"/>
          </w:r>
          <w:r w:rsidRPr="000443AD">
            <w:rPr>
              <w:rStyle w:val="Hyperlink"/>
            </w:rPr>
            <w:t>1.</w:t>
          </w:r>
          <w:r>
            <w:rPr>
              <w:rFonts w:asciiTheme="minorHAnsi" w:eastAsiaTheme="minorEastAsia" w:hAnsiTheme="minorHAnsi" w:cstheme="minorBidi"/>
              <w:snapToGrid/>
              <w:kern w:val="0"/>
              <w:szCs w:val="22"/>
            </w:rPr>
            <w:tab/>
          </w:r>
          <w:r w:rsidRPr="000443AD">
            <w:rPr>
              <w:rStyle w:val="Hyperlink"/>
            </w:rPr>
            <w:t>EAS</w:t>
          </w:r>
          <w:r>
            <w:rPr>
              <w:webHidden/>
            </w:rPr>
            <w:tab/>
          </w:r>
          <w:r>
            <w:rPr>
              <w:webHidden/>
            </w:rPr>
            <w:fldChar w:fldCharType="begin"/>
          </w:r>
          <w:r>
            <w:rPr>
              <w:webHidden/>
            </w:rPr>
            <w:instrText xml:space="preserve"> PAGEREF _Toc511031501 \h </w:instrText>
          </w:r>
          <w:r>
            <w:rPr>
              <w:webHidden/>
            </w:rPr>
            <w:fldChar w:fldCharType="separate"/>
          </w:r>
          <w:r w:rsidR="00520284">
            <w:rPr>
              <w:webHidden/>
            </w:rPr>
            <w:t>18</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"_Toc511031502" </w:instrText>
          </w:r>
          <w:r>
            <w:fldChar w:fldCharType="separate"/>
          </w:r>
          <w:r w:rsidRPr="000443AD">
            <w:rPr>
              <w:rStyle w:val="Hyperlink"/>
            </w:rPr>
            <w:t>2.</w:t>
          </w:r>
          <w:r>
            <w:rPr>
              <w:rFonts w:asciiTheme="minorHAnsi" w:eastAsiaTheme="minorEastAsia" w:hAnsiTheme="minorHAnsi" w:cstheme="minorBidi"/>
              <w:snapToGrid/>
              <w:kern w:val="0"/>
              <w:szCs w:val="22"/>
            </w:rPr>
            <w:tab/>
          </w:r>
          <w:r w:rsidRPr="000443AD">
            <w:rPr>
              <w:rStyle w:val="Hyperlink"/>
            </w:rPr>
            <w:t>WEA</w:t>
          </w:r>
          <w:r>
            <w:rPr>
              <w:webHidden/>
            </w:rPr>
            <w:tab/>
          </w:r>
          <w:r>
            <w:rPr>
              <w:webHidden/>
            </w:rPr>
            <w:fldChar w:fldCharType="begin"/>
          </w:r>
          <w:r>
            <w:rPr>
              <w:webHidden/>
            </w:rPr>
            <w:instrText xml:space="preserve"> PAGEREF _Toc511031502 \h </w:instrText>
          </w:r>
          <w:r>
            <w:rPr>
              <w:webHidden/>
            </w:rPr>
            <w:fldChar w:fldCharType="separate"/>
          </w:r>
          <w:r w:rsidR="00520284">
            <w:rPr>
              <w:webHidden/>
            </w:rPr>
            <w:t>19</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"_Toc511031503" </w:instrText>
          </w:r>
          <w:r>
            <w:fldChar w:fldCharType="separate"/>
          </w:r>
          <w:r w:rsidRPr="000443AD">
            <w:rPr>
              <w:rStyle w:val="Hyperlink"/>
            </w:rPr>
            <w:t>D.</w:t>
          </w:r>
          <w:r>
            <w:rPr>
              <w:rFonts w:asciiTheme="minorHAnsi" w:eastAsiaTheme="minorEastAsia" w:hAnsiTheme="minorHAnsi" w:cstheme="minorBidi"/>
              <w:snapToGrid/>
              <w:kern w:val="0"/>
              <w:szCs w:val="22"/>
            </w:rPr>
            <w:tab/>
          </w:r>
          <w:r w:rsidRPr="000443AD">
            <w:rPr>
              <w:rStyle w:val="Hyperlink"/>
            </w:rPr>
            <w:t>Impact on Public Safety Communications Networks and Services</w:t>
          </w:r>
          <w:r>
            <w:rPr>
              <w:webHidden/>
            </w:rPr>
            <w:tab/>
          </w:r>
          <w:r>
            <w:rPr>
              <w:webHidden/>
            </w:rPr>
            <w:fldChar w:fldCharType="begin"/>
          </w:r>
          <w:r>
            <w:rPr>
              <w:webHidden/>
            </w:rPr>
            <w:instrText xml:space="preserve"> PAGEREF _Toc511031503 \h </w:instrText>
          </w:r>
          <w:r>
            <w:rPr>
              <w:webHidden/>
            </w:rPr>
            <w:fldChar w:fldCharType="separate"/>
          </w:r>
          <w:r w:rsidR="00520284">
            <w:rPr>
              <w:webHidden/>
            </w:rPr>
            <w:t>21</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"_Toc511031504" </w:instrText>
          </w:r>
          <w:r>
            <w:fldChar w:fldCharType="separate"/>
          </w:r>
          <w:r w:rsidRPr="000443AD">
            <w:rPr>
              <w:rStyle w:val="Hyperlink"/>
            </w:rPr>
            <w:t>1.</w:t>
          </w:r>
          <w:r>
            <w:rPr>
              <w:rFonts w:asciiTheme="minorHAnsi" w:eastAsiaTheme="minorEastAsia" w:hAnsiTheme="minorHAnsi" w:cstheme="minorBidi"/>
              <w:snapToGrid/>
              <w:kern w:val="0"/>
              <w:szCs w:val="22"/>
            </w:rPr>
            <w:tab/>
          </w:r>
          <w:r w:rsidRPr="000443AD">
            <w:rPr>
              <w:rStyle w:val="Hyperlink"/>
            </w:rPr>
            <w:t>Police and 911 Response</w:t>
          </w:r>
          <w:r>
            <w:rPr>
              <w:webHidden/>
            </w:rPr>
            <w:tab/>
          </w:r>
          <w:r>
            <w:rPr>
              <w:webHidden/>
            </w:rPr>
            <w:fldChar w:fldCharType="begin"/>
          </w:r>
          <w:r>
            <w:rPr>
              <w:webHidden/>
            </w:rPr>
            <w:instrText xml:space="preserve"> PAGEREF _Toc511031504 \h </w:instrText>
          </w:r>
          <w:r>
            <w:rPr>
              <w:webHidden/>
            </w:rPr>
            <w:fldChar w:fldCharType="separate"/>
          </w:r>
          <w:r w:rsidR="00520284">
            <w:rPr>
              <w:webHidden/>
            </w:rPr>
            <w:t>21</w:t>
          </w:r>
          <w:r>
            <w:rPr>
              <w:webHidden/>
            </w:rPr>
            <w:fldChar w:fldCharType="end"/>
          </w:r>
          <w:r>
            <w:fldChar w:fldCharType="end"/>
          </w:r>
        </w:p>
        <w:p w:rsidR="00865424">
          <w:pPr>
            <w:pStyle w:val="TOC3"/>
            <w:rPr>
              <w:rFonts w:asciiTheme="minorHAnsi" w:eastAsiaTheme="minorEastAsia" w:hAnsiTheme="minorHAnsi" w:cstheme="minorBidi"/>
              <w:snapToGrid/>
              <w:kern w:val="0"/>
              <w:szCs w:val="22"/>
            </w:rPr>
          </w:pPr>
          <w:r>
            <w:fldChar w:fldCharType="begin"/>
          </w:r>
          <w:r>
            <w:instrText xml:space="preserve"> HYPERLINK \l "_Toc511031505" </w:instrText>
          </w:r>
          <w:r>
            <w:fldChar w:fldCharType="separate"/>
          </w:r>
          <w:r w:rsidRPr="000443AD">
            <w:rPr>
              <w:rStyle w:val="Hyperlink"/>
            </w:rPr>
            <w:t>2.</w:t>
          </w:r>
          <w:r>
            <w:rPr>
              <w:rFonts w:asciiTheme="minorHAnsi" w:eastAsiaTheme="minorEastAsia" w:hAnsiTheme="minorHAnsi" w:cstheme="minorBidi"/>
              <w:snapToGrid/>
              <w:kern w:val="0"/>
              <w:szCs w:val="22"/>
            </w:rPr>
            <w:tab/>
          </w:r>
          <w:r w:rsidRPr="000443AD">
            <w:rPr>
              <w:rStyle w:val="Hyperlink"/>
            </w:rPr>
            <w:t>Priority Telecommunications Services</w:t>
          </w:r>
          <w:r>
            <w:rPr>
              <w:webHidden/>
            </w:rPr>
            <w:tab/>
          </w:r>
          <w:r>
            <w:rPr>
              <w:webHidden/>
            </w:rPr>
            <w:fldChar w:fldCharType="begin"/>
          </w:r>
          <w:r>
            <w:rPr>
              <w:webHidden/>
            </w:rPr>
            <w:instrText xml:space="preserve"> PAGEREF _Toc511031505 \h </w:instrText>
          </w:r>
          <w:r>
            <w:rPr>
              <w:webHidden/>
            </w:rPr>
            <w:fldChar w:fldCharType="separate"/>
          </w:r>
          <w:r w:rsidR="00520284">
            <w:rPr>
              <w:webHidden/>
            </w:rPr>
            <w:t>22</w:t>
          </w:r>
          <w:r>
            <w:rPr>
              <w:webHidden/>
            </w:rPr>
            <w:fldChar w:fldCharType="end"/>
          </w:r>
          <w:r>
            <w:fldChar w:fldCharType="end"/>
          </w:r>
        </w:p>
        <w:p w:rsidR="00865424">
          <w:pPr>
            <w:pStyle w:val="TOC1"/>
            <w:rPr>
              <w:rFonts w:asciiTheme="minorHAnsi" w:eastAsiaTheme="minorEastAsia" w:hAnsiTheme="minorHAnsi" w:cstheme="minorBidi"/>
              <w:caps w:val="0"/>
              <w:snapToGrid/>
              <w:kern w:val="0"/>
              <w:szCs w:val="22"/>
            </w:rPr>
          </w:pPr>
          <w:r>
            <w:fldChar w:fldCharType="begin"/>
          </w:r>
          <w:r>
            <w:instrText xml:space="preserve"> HYPERLINK \l "_Toc511031506" </w:instrText>
          </w:r>
          <w:r>
            <w:fldChar w:fldCharType="separate"/>
          </w:r>
          <w:r w:rsidRPr="000443AD">
            <w:rPr>
              <w:rStyle w:val="Hyperlink"/>
            </w:rPr>
            <w:t>IV.</w:t>
          </w:r>
          <w:r>
            <w:rPr>
              <w:rFonts w:asciiTheme="minorHAnsi" w:eastAsiaTheme="minorEastAsia" w:hAnsiTheme="minorHAnsi" w:cstheme="minorBidi"/>
              <w:caps w:val="0"/>
              <w:snapToGrid/>
              <w:kern w:val="0"/>
              <w:szCs w:val="22"/>
            </w:rPr>
            <w:tab/>
          </w:r>
          <w:r w:rsidRPr="000443AD">
            <w:rPr>
              <w:rStyle w:val="Hyperlink"/>
            </w:rPr>
            <w:t>NEXT STEPS</w:t>
          </w:r>
          <w:r>
            <w:rPr>
              <w:webHidden/>
            </w:rPr>
            <w:tab/>
          </w:r>
          <w:r>
            <w:rPr>
              <w:webHidden/>
            </w:rPr>
            <w:fldChar w:fldCharType="begin"/>
          </w:r>
          <w:r>
            <w:rPr>
              <w:webHidden/>
            </w:rPr>
            <w:instrText xml:space="preserve"> PAGEREF _Toc511031506 \h </w:instrText>
          </w:r>
          <w:r>
            <w:rPr>
              <w:webHidden/>
            </w:rPr>
            <w:fldChar w:fldCharType="separate"/>
          </w:r>
          <w:r w:rsidR="00520284">
            <w:rPr>
              <w:webHidden/>
            </w:rPr>
            <w:t>23</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"_Toc511031507" </w:instrText>
          </w:r>
          <w:r>
            <w:fldChar w:fldCharType="separate"/>
          </w:r>
          <w:r w:rsidRPr="000443AD">
            <w:rPr>
              <w:rStyle w:val="Hyperlink"/>
            </w:rPr>
            <w:t>A.</w:t>
          </w:r>
          <w:r>
            <w:rPr>
              <w:rFonts w:asciiTheme="minorHAnsi" w:eastAsiaTheme="minorEastAsia" w:hAnsiTheme="minorHAnsi" w:cstheme="minorBidi"/>
              <w:snapToGrid/>
              <w:kern w:val="0"/>
              <w:szCs w:val="22"/>
            </w:rPr>
            <w:tab/>
          </w:r>
          <w:r w:rsidRPr="000443AD">
            <w:rPr>
              <w:rStyle w:val="Hyperlink"/>
            </w:rPr>
            <w:t>Hawaii’s Actions to Prevent Recurrence</w:t>
          </w:r>
          <w:r>
            <w:rPr>
              <w:webHidden/>
            </w:rPr>
            <w:tab/>
          </w:r>
          <w:r>
            <w:rPr>
              <w:webHidden/>
            </w:rPr>
            <w:fldChar w:fldCharType="begin"/>
          </w:r>
          <w:r>
            <w:rPr>
              <w:webHidden/>
            </w:rPr>
            <w:instrText xml:space="preserve"> PAGEREF _Toc511031507 \h </w:instrText>
          </w:r>
          <w:r>
            <w:rPr>
              <w:webHidden/>
            </w:rPr>
            <w:fldChar w:fldCharType="separate"/>
          </w:r>
          <w:r w:rsidR="00520284">
            <w:rPr>
              <w:webHidden/>
            </w:rPr>
            <w:t>23</w:t>
          </w:r>
          <w:r>
            <w:rPr>
              <w:webHidden/>
            </w:rPr>
            <w:fldChar w:fldCharType="end"/>
          </w:r>
          <w:r>
            <w:fldChar w:fldCharType="end"/>
          </w:r>
        </w:p>
        <w:p w:rsidR="00865424">
          <w:pPr>
            <w:pStyle w:val="TOC2"/>
            <w:rPr>
              <w:rFonts w:asciiTheme="minorHAnsi" w:eastAsiaTheme="minorEastAsia" w:hAnsiTheme="minorHAnsi" w:cstheme="minorBidi"/>
              <w:snapToGrid/>
              <w:kern w:val="0"/>
              <w:szCs w:val="22"/>
            </w:rPr>
          </w:pPr>
          <w:r>
            <w:fldChar w:fldCharType="begin"/>
          </w:r>
          <w:r>
            <w:instrText xml:space="preserve"> HYPERLINK \l "_Toc511031508" </w:instrText>
          </w:r>
          <w:r>
            <w:fldChar w:fldCharType="separate"/>
          </w:r>
          <w:r w:rsidRPr="000443AD">
            <w:rPr>
              <w:rStyle w:val="Hyperlink"/>
            </w:rPr>
            <w:t>B.</w:t>
          </w:r>
          <w:r>
            <w:rPr>
              <w:rFonts w:asciiTheme="minorHAnsi" w:eastAsiaTheme="minorEastAsia" w:hAnsiTheme="minorHAnsi" w:cstheme="minorBidi"/>
              <w:snapToGrid/>
              <w:kern w:val="0"/>
              <w:szCs w:val="22"/>
            </w:rPr>
            <w:tab/>
          </w:r>
          <w:r w:rsidRPr="000443AD">
            <w:rPr>
              <w:rStyle w:val="Hyperlink"/>
            </w:rPr>
            <w:t>Bureau Recommendations</w:t>
          </w:r>
          <w:r>
            <w:rPr>
              <w:webHidden/>
            </w:rPr>
            <w:tab/>
          </w:r>
          <w:r>
            <w:rPr>
              <w:webHidden/>
            </w:rPr>
            <w:fldChar w:fldCharType="begin"/>
          </w:r>
          <w:r>
            <w:rPr>
              <w:webHidden/>
            </w:rPr>
            <w:instrText xml:space="preserve"> PAGEREF _Toc511031508 \h </w:instrText>
          </w:r>
          <w:r>
            <w:rPr>
              <w:webHidden/>
            </w:rPr>
            <w:fldChar w:fldCharType="separate"/>
          </w:r>
          <w:r w:rsidR="00520284">
            <w:rPr>
              <w:webHidden/>
            </w:rPr>
            <w:t>24</w:t>
          </w:r>
          <w:r>
            <w:rPr>
              <w:webHidden/>
            </w:rPr>
            <w:fldChar w:fldCharType="end"/>
          </w:r>
          <w:r>
            <w:fldChar w:fldCharType="end"/>
          </w:r>
        </w:p>
        <w:p w:rsidR="00E9413C" w:rsidRPr="00E32C3F" w:rsidP="00E9413C">
          <w:r>
            <w:rPr>
              <w:b/>
              <w:bCs/>
              <w:noProof/>
            </w:rPr>
            <w:fldChar w:fldCharType="end"/>
          </w:r>
        </w:p>
      </w:sdtContent>
    </w:sdt>
    <w:p w:rsidR="00E9413C" w:rsidP="00E9413C">
      <w:pPr>
        <w:rPr>
          <w:szCs w:val="22"/>
        </w:rPr>
      </w:pPr>
      <w:r>
        <w:rPr>
          <w:szCs w:val="22"/>
        </w:rPr>
        <w:t>APPENDIX A: Illustration of False Alert and Correction on EAS and WEA</w:t>
      </w:r>
    </w:p>
    <w:p w:rsidR="00E9413C" w:rsidP="00E9413C">
      <w:pPr>
        <w:rPr>
          <w:szCs w:val="22"/>
        </w:rPr>
      </w:pPr>
      <w:r>
        <w:rPr>
          <w:szCs w:val="22"/>
        </w:rPr>
        <w:t>APPENDIX</w:t>
      </w:r>
      <w:r w:rsidRPr="00E70EE1">
        <w:rPr>
          <w:szCs w:val="22"/>
        </w:rPr>
        <w:t xml:space="preserve"> </w:t>
      </w:r>
      <w:r>
        <w:rPr>
          <w:szCs w:val="22"/>
        </w:rPr>
        <w:t>B</w:t>
      </w:r>
      <w:r w:rsidRPr="00E70EE1">
        <w:rPr>
          <w:szCs w:val="22"/>
        </w:rPr>
        <w:t xml:space="preserve">: </w:t>
      </w:r>
      <w:r w:rsidRPr="00E70EE1">
        <w:rPr>
          <w:szCs w:val="22"/>
        </w:rPr>
        <w:tab/>
      </w:r>
      <w:r>
        <w:rPr>
          <w:szCs w:val="22"/>
        </w:rPr>
        <w:t>Illustration of HI-EMA</w:t>
      </w:r>
      <w:r w:rsidR="00886DA2">
        <w:rPr>
          <w:szCs w:val="22"/>
        </w:rPr>
        <w:t xml:space="preserve">’s </w:t>
      </w:r>
      <w:r>
        <w:rPr>
          <w:szCs w:val="22"/>
        </w:rPr>
        <w:t>Alert Origination Software Drop-Down Template Menu</w:t>
      </w:r>
    </w:p>
    <w:p w:rsidR="00E9413C" w:rsidP="00E9413C">
      <w:pPr>
        <w:rPr>
          <w:szCs w:val="22"/>
        </w:rPr>
      </w:pPr>
      <w:r>
        <w:rPr>
          <w:szCs w:val="22"/>
        </w:rPr>
        <w:t>APPENDIX C: Illustration of Corrections on Social Media</w:t>
      </w:r>
    </w:p>
    <w:p w:rsidR="00E9413C" w:rsidRPr="00BC4B47" w:rsidP="00E9413C">
      <w:pPr>
        <w:rPr>
          <w:rFonts w:eastAsia="Calibri"/>
          <w:snapToGrid/>
          <w:kern w:val="0"/>
          <w:sz w:val="24"/>
          <w:szCs w:val="22"/>
        </w:rPr>
      </w:pPr>
      <w:r w:rsidRPr="00BC4B47">
        <w:rPr>
          <w:sz w:val="24"/>
          <w:szCs w:val="24"/>
        </w:rPr>
        <w:br w:type="page"/>
      </w:r>
    </w:p>
    <w:p w:rsidR="00E9413C" w:rsidRPr="00100E73" w:rsidP="00E9413C">
      <w:pPr>
        <w:pStyle w:val="Heading1"/>
        <w:rPr>
          <w:rFonts w:ascii="Times New Roman" w:hAnsi="Times New Roman"/>
          <w:szCs w:val="22"/>
        </w:rPr>
      </w:pPr>
      <w:bookmarkStart w:id="12" w:name="_Toc480810195"/>
      <w:bookmarkStart w:id="13" w:name="_Toc480810308"/>
      <w:bookmarkStart w:id="14" w:name="_Toc480814315"/>
      <w:bookmarkStart w:id="15" w:name="_Toc480875852"/>
      <w:bookmarkStart w:id="16" w:name="_Toc481075313"/>
      <w:bookmarkStart w:id="17" w:name="_Toc481156443"/>
      <w:bookmarkStart w:id="18" w:name="_Toc481165580"/>
      <w:bookmarkStart w:id="19" w:name="_Toc481485319"/>
      <w:bookmarkStart w:id="20" w:name="_Toc481507579"/>
      <w:bookmarkStart w:id="21" w:name="_Toc481769917"/>
      <w:bookmarkStart w:id="22" w:name="_Toc482007238"/>
      <w:bookmarkStart w:id="23" w:name="_Toc482282832"/>
      <w:bookmarkStart w:id="24" w:name="_Toc482370858"/>
      <w:bookmarkStart w:id="25" w:name="_Toc482700859"/>
      <w:bookmarkStart w:id="26" w:name="_Toc482706524"/>
      <w:bookmarkStart w:id="27" w:name="_Toc504394484"/>
      <w:bookmarkStart w:id="28" w:name="_Toc504583128"/>
      <w:bookmarkStart w:id="29" w:name="_Toc504589348"/>
      <w:bookmarkStart w:id="30" w:name="_Toc504643917"/>
      <w:bookmarkStart w:id="31" w:name="_Toc504673422"/>
      <w:bookmarkStart w:id="32" w:name="_Toc504733593"/>
      <w:bookmarkStart w:id="33" w:name="_Toc505854704"/>
      <w:bookmarkStart w:id="34" w:name="_Toc507499222"/>
      <w:bookmarkStart w:id="35" w:name="_Toc511031489"/>
      <w:bookmarkEnd w:id="2"/>
      <w:bookmarkEnd w:id="3"/>
      <w:bookmarkEnd w:id="4"/>
      <w:bookmarkEnd w:id="5"/>
      <w:bookmarkEnd w:id="6"/>
      <w:bookmarkEnd w:id="7"/>
      <w:bookmarkEnd w:id="8"/>
      <w:r w:rsidRPr="00100E73">
        <w:rPr>
          <w:rFonts w:ascii="Times New Roman" w:hAnsi="Times New Roman"/>
          <w:szCs w:val="22"/>
        </w:rPr>
        <w:t>EXECUTIVE SUMMARY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9413C" w:rsidP="00E9413C">
      <w:pPr>
        <w:pStyle w:val="ParaNum"/>
        <w:tabs>
          <w:tab w:val="num" w:pos="1440"/>
        </w:tabs>
        <w:ind w:left="0"/>
        <w:rPr>
          <w:szCs w:val="22"/>
        </w:rPr>
      </w:pPr>
      <w:r w:rsidRPr="00E70EE1">
        <w:rPr>
          <w:szCs w:val="22"/>
        </w:rPr>
        <w:t>“This is not a drill</w:t>
      </w:r>
      <w:r>
        <w:rPr>
          <w:szCs w:val="22"/>
        </w:rPr>
        <w:t>.</w:t>
      </w:r>
      <w:r w:rsidRPr="00E70EE1">
        <w:rPr>
          <w:szCs w:val="22"/>
        </w:rPr>
        <w:t xml:space="preserve">” </w:t>
      </w:r>
      <w:r>
        <w:rPr>
          <w:szCs w:val="22"/>
        </w:rPr>
        <w:t xml:space="preserve"> This phrase has regrettable resonance in Hawaii.  Its history</w:t>
      </w:r>
      <w:r w:rsidRPr="00E70EE1">
        <w:rPr>
          <w:szCs w:val="22"/>
        </w:rPr>
        <w:t xml:space="preserve"> </w:t>
      </w:r>
      <w:r>
        <w:rPr>
          <w:szCs w:val="22"/>
        </w:rPr>
        <w:t>dates</w:t>
      </w:r>
      <w:r w:rsidRPr="00E70EE1">
        <w:rPr>
          <w:szCs w:val="22"/>
        </w:rPr>
        <w:t xml:space="preserve"> to </w:t>
      </w:r>
      <w:r>
        <w:rPr>
          <w:szCs w:val="22"/>
        </w:rPr>
        <w:t>another weekend morning,</w:t>
      </w:r>
      <w:r w:rsidRPr="00E70EE1">
        <w:rPr>
          <w:szCs w:val="22"/>
        </w:rPr>
        <w:t xml:space="preserve"> Sunday</w:t>
      </w:r>
      <w:r>
        <w:rPr>
          <w:szCs w:val="22"/>
        </w:rPr>
        <w:t>,</w:t>
      </w:r>
      <w:r w:rsidRPr="00E70EE1">
        <w:rPr>
          <w:szCs w:val="22"/>
        </w:rPr>
        <w:t xml:space="preserve"> December 7, 1941, when a U.S. naval officer sent out the following message warning of </w:t>
      </w:r>
      <w:r>
        <w:rPr>
          <w:szCs w:val="22"/>
        </w:rPr>
        <w:t>a Japanese attack: “</w:t>
      </w:r>
      <w:r w:rsidRPr="00E70EE1">
        <w:rPr>
          <w:szCs w:val="22"/>
        </w:rPr>
        <w:t>AIR RAID ON PE</w:t>
      </w:r>
      <w:r>
        <w:rPr>
          <w:szCs w:val="22"/>
        </w:rPr>
        <w:t>ARL HARBOR X THIS IS NOT DRILL.”</w:t>
      </w:r>
      <w:r>
        <w:rPr>
          <w:rStyle w:val="FootnoteReference"/>
          <w:szCs w:val="22"/>
        </w:rPr>
        <w:footnoteReference w:id="3"/>
      </w:r>
    </w:p>
    <w:p w:rsidR="00E9413C" w:rsidP="00E9413C">
      <w:pPr>
        <w:pStyle w:val="ParaNum"/>
        <w:tabs>
          <w:tab w:val="num" w:pos="1440"/>
        </w:tabs>
        <w:ind w:left="0"/>
        <w:rPr>
          <w:szCs w:val="22"/>
        </w:rPr>
      </w:pPr>
      <w:r>
        <w:rPr>
          <w:szCs w:val="22"/>
        </w:rPr>
        <w:t xml:space="preserve">This phrase was again </w:t>
      </w:r>
      <w:r w:rsidR="00AD707D">
        <w:rPr>
          <w:szCs w:val="22"/>
        </w:rPr>
        <w:t xml:space="preserve">used </w:t>
      </w:r>
      <w:r>
        <w:rPr>
          <w:szCs w:val="22"/>
        </w:rPr>
        <w:t>in Hawaii o</w:t>
      </w:r>
      <w:r w:rsidRPr="00382ABE">
        <w:rPr>
          <w:szCs w:val="22"/>
        </w:rPr>
        <w:t>n January 1</w:t>
      </w:r>
      <w:r>
        <w:rPr>
          <w:szCs w:val="22"/>
        </w:rPr>
        <w:t>3, 2018.  At 8:0</w:t>
      </w:r>
      <w:r w:rsidR="00284AE5">
        <w:rPr>
          <w:szCs w:val="22"/>
        </w:rPr>
        <w:t>7</w:t>
      </w:r>
      <w:r w:rsidRPr="00382ABE">
        <w:rPr>
          <w:szCs w:val="22"/>
        </w:rPr>
        <w:t xml:space="preserve"> a</w:t>
      </w:r>
      <w:r w:rsidR="009511E9">
        <w:rPr>
          <w:szCs w:val="22"/>
        </w:rPr>
        <w:t>.</w:t>
      </w:r>
      <w:r w:rsidRPr="00382ABE">
        <w:rPr>
          <w:szCs w:val="22"/>
        </w:rPr>
        <w:t>m</w:t>
      </w:r>
      <w:r w:rsidR="009511E9">
        <w:rPr>
          <w:szCs w:val="22"/>
        </w:rPr>
        <w:t>.</w:t>
      </w:r>
      <w:r w:rsidRPr="00382ABE">
        <w:rPr>
          <w:szCs w:val="22"/>
        </w:rPr>
        <w:t xml:space="preserve"> Hawaii Standard Time (HST), on-duty </w:t>
      </w:r>
      <w:r>
        <w:rPr>
          <w:szCs w:val="22"/>
        </w:rPr>
        <w:t>warning</w:t>
      </w:r>
      <w:r w:rsidRPr="00382ABE">
        <w:rPr>
          <w:szCs w:val="22"/>
        </w:rPr>
        <w:t xml:space="preserve"> </w:t>
      </w:r>
      <w:r w:rsidRPr="0086600C">
        <w:rPr>
          <w:szCs w:val="22"/>
        </w:rPr>
        <w:t>officers</w:t>
      </w:r>
      <w:r w:rsidRPr="00382ABE">
        <w:rPr>
          <w:szCs w:val="22"/>
        </w:rPr>
        <w:t xml:space="preserve"> of the State of Hawaii Emergency Management Agency (HI-E</w:t>
      </w:r>
      <w:r>
        <w:rPr>
          <w:szCs w:val="22"/>
        </w:rPr>
        <w:t>MA) sought to conduct an internal exercise of their ballistic missile defense drill using the Emergency Alert System (EAS) and Wireless Emergency Alert</w:t>
      </w:r>
      <w:r w:rsidR="00B0563F">
        <w:rPr>
          <w:szCs w:val="22"/>
        </w:rPr>
        <w:t>s</w:t>
      </w:r>
      <w:r>
        <w:rPr>
          <w:szCs w:val="22"/>
        </w:rPr>
        <w:t xml:space="preserve"> (WEA).</w:t>
      </w:r>
      <w:bookmarkStart w:id="36" w:name="_Ref506560598"/>
      <w:r>
        <w:rPr>
          <w:rStyle w:val="FootnoteReference"/>
          <w:szCs w:val="22"/>
        </w:rPr>
        <w:footnoteReference w:id="4"/>
      </w:r>
      <w:bookmarkEnd w:id="36"/>
      <w:r>
        <w:rPr>
          <w:szCs w:val="22"/>
        </w:rPr>
        <w:t xml:space="preserve">  The exercise went awry, resulting in HI-EMA sending the following message </w:t>
      </w:r>
      <w:r w:rsidR="00AD707D">
        <w:rPr>
          <w:szCs w:val="22"/>
        </w:rPr>
        <w:t>throughout</w:t>
      </w:r>
      <w:r>
        <w:rPr>
          <w:szCs w:val="22"/>
        </w:rPr>
        <w:t xml:space="preserve"> Hawaii:</w:t>
      </w:r>
    </w:p>
    <w:p w:rsidR="0086600C" w:rsidRPr="0086600C" w:rsidP="006753A3">
      <w:pPr>
        <w:pStyle w:val="ParaNum"/>
        <w:numPr>
          <w:ilvl w:val="0"/>
          <w:numId w:val="0"/>
        </w:numPr>
        <w:ind w:left="720"/>
        <w:jc w:val="both"/>
      </w:pPr>
      <w:r>
        <w:t>BALLISTIC MISSILE THREAT INBOUND TO HAWAII.  SEEK IMMEDIATE SHELTER.  THIS IS NOT A DRILL.</w:t>
      </w:r>
      <w:r>
        <w:rPr>
          <w:rStyle w:val="FootnoteReference"/>
          <w:szCs w:val="22"/>
        </w:rPr>
        <w:footnoteReference w:id="5"/>
      </w:r>
    </w:p>
    <w:p w:rsidR="00E9413C" w:rsidRPr="0086600C" w:rsidP="006753A3">
      <w:pPr>
        <w:pStyle w:val="ParaNum"/>
        <w:tabs>
          <w:tab w:val="num" w:pos="1440"/>
        </w:tabs>
        <w:ind w:left="0"/>
        <w:rPr>
          <w:szCs w:val="22"/>
        </w:rPr>
      </w:pPr>
      <w:r w:rsidRPr="0086600C">
        <w:t>This</w:t>
      </w:r>
      <w:r>
        <w:t xml:space="preserve"> false emergency alert resulted</w:t>
      </w:r>
      <w:r w:rsidRPr="00790415">
        <w:t xml:space="preserve"> </w:t>
      </w:r>
      <w:r>
        <w:t xml:space="preserve">in 38 minutes of </w:t>
      </w:r>
      <w:r w:rsidR="004B3761">
        <w:t xml:space="preserve">confusion, </w:t>
      </w:r>
      <w:r>
        <w:t>fear and uncertainty</w:t>
      </w:r>
      <w:r w:rsidR="004B3761">
        <w:t xml:space="preserve"> for </w:t>
      </w:r>
      <w:r w:rsidRPr="00010577">
        <w:t>the residents of Hawaii.</w:t>
      </w:r>
      <w:r>
        <w:rPr>
          <w:vertAlign w:val="superscript"/>
        </w:rPr>
        <w:footnoteReference w:id="6"/>
      </w:r>
      <w:r w:rsidRPr="00010577">
        <w:t xml:space="preserve">  </w:t>
      </w:r>
      <w:r w:rsidR="004B3761">
        <w:t>Although s</w:t>
      </w:r>
      <w:r w:rsidR="002B16E7">
        <w:t xml:space="preserve">ome </w:t>
      </w:r>
      <w:r w:rsidRPr="00010577">
        <w:t>suspected that the alert was a mistake, in part due to the absence of air-raid sirens, and made calls or checked social media to confirm the alert’s authenticity</w:t>
      </w:r>
      <w:r w:rsidR="004B3761">
        <w:t>,</w:t>
      </w:r>
      <w:r>
        <w:rPr>
          <w:vertAlign w:val="superscript"/>
        </w:rPr>
        <w:footnoteReference w:id="7"/>
      </w:r>
      <w:r w:rsidR="004B3761">
        <w:t xml:space="preserve"> for ma</w:t>
      </w:r>
      <w:r w:rsidR="00B0563F">
        <w:t>n</w:t>
      </w:r>
      <w:r w:rsidR="004B3761">
        <w:t>y Hawaiians, t</w:t>
      </w:r>
      <w:r w:rsidRPr="000B554E">
        <w:t>he false alert created the expectation that a missile strike could be only minutes away</w:t>
      </w:r>
      <w:r w:rsidR="004B3761">
        <w:t xml:space="preserve">.  </w:t>
      </w:r>
      <w:r w:rsidR="00C156E6">
        <w:t>According to the Bureau’s investigation,</w:t>
      </w:r>
      <w:r w:rsidR="004B3761">
        <w:t xml:space="preserve"> it took HI-EMA until 8:20 a.m.</w:t>
      </w:r>
      <w:r w:rsidR="00403A0F">
        <w:t xml:space="preserve"> (HST)</w:t>
      </w:r>
      <w:r w:rsidR="004B3761">
        <w:t xml:space="preserve">, 13 minutes after the initial alert, to provide the public with the first authoritative announcement over social media that this was a false alarm, and 38 minutes to issue a correction using EAS and WEA.  </w:t>
      </w:r>
      <w:r w:rsidRPr="0086600C" w:rsidR="00B80B66">
        <w:t>As terrifying as this period of uncertainty was for so many Hawaiians, f</w:t>
      </w:r>
      <w:r w:rsidRPr="0086600C" w:rsidR="007B7E3D">
        <w:t xml:space="preserve">or people with disabilities, the situation was </w:t>
      </w:r>
      <w:r w:rsidRPr="0086600C" w:rsidR="00FC4FC2">
        <w:t>particularly stressful</w:t>
      </w:r>
      <w:r w:rsidRPr="0086600C" w:rsidR="007B7E3D">
        <w:t xml:space="preserve">.  </w:t>
      </w:r>
      <w:r w:rsidRPr="0086600C" w:rsidR="00425314">
        <w:t xml:space="preserve">In one instance, reported by </w:t>
      </w:r>
      <w:r w:rsidRPr="0086600C" w:rsidR="007B7E3D">
        <w:t>Howard A</w:t>
      </w:r>
      <w:r w:rsidRPr="0086600C" w:rsidR="0057309D">
        <w:t>.</w:t>
      </w:r>
      <w:r w:rsidRPr="0086600C" w:rsidR="007B7E3D">
        <w:t xml:space="preserve"> Rosenblum, Chief Executive Officer of the </w:t>
      </w:r>
      <w:r w:rsidRPr="0086600C" w:rsidR="007B7E3D">
        <w:rPr>
          <w:szCs w:val="22"/>
        </w:rPr>
        <w:t xml:space="preserve">National Association of the Deaf (NAD), he and other </w:t>
      </w:r>
      <w:r w:rsidRPr="0086600C" w:rsidR="00E94198">
        <w:rPr>
          <w:szCs w:val="22"/>
        </w:rPr>
        <w:t xml:space="preserve">members of the </w:t>
      </w:r>
      <w:r w:rsidRPr="0086600C" w:rsidR="007B7E3D">
        <w:t xml:space="preserve">NAD’s </w:t>
      </w:r>
      <w:r w:rsidRPr="0086600C" w:rsidR="00216BF3">
        <w:t>Board of Directors</w:t>
      </w:r>
      <w:r w:rsidRPr="0086600C" w:rsidR="007B7E3D">
        <w:t xml:space="preserve"> were in Honolulu on January 13, 2018</w:t>
      </w:r>
      <w:r w:rsidR="00C43BB8">
        <w:t>,</w:t>
      </w:r>
      <w:r w:rsidRPr="0086600C" w:rsidR="007B7E3D">
        <w:t xml:space="preserve"> for an NAD Board meeting</w:t>
      </w:r>
      <w:r w:rsidRPr="0086600C" w:rsidR="00EC583C">
        <w:t xml:space="preserve"> when </w:t>
      </w:r>
      <w:r w:rsidRPr="0086600C" w:rsidR="007B7E3D">
        <w:t>the false alert was initiated</w:t>
      </w:r>
      <w:r w:rsidRPr="0086600C" w:rsidR="00EC583C">
        <w:t>.</w:t>
      </w:r>
      <w:r>
        <w:rPr>
          <w:rStyle w:val="FootnoteReference"/>
          <w:sz w:val="22"/>
          <w:szCs w:val="22"/>
        </w:rPr>
        <w:footnoteReference w:id="8"/>
      </w:r>
      <w:r w:rsidRPr="0086600C" w:rsidR="00EC583C">
        <w:t xml:space="preserve">  </w:t>
      </w:r>
      <w:r w:rsidRPr="0086600C" w:rsidR="00E94198">
        <w:t xml:space="preserve">According </w:t>
      </w:r>
      <w:r w:rsidRPr="0086600C" w:rsidR="004B3761">
        <w:t xml:space="preserve">to Mr. Rosenblum, the NAD Board members responded to the directive to “seek immediate shelter” by </w:t>
      </w:r>
      <w:r w:rsidRPr="0086600C" w:rsidR="00E94198">
        <w:t>mov</w:t>
      </w:r>
      <w:r w:rsidRPr="0086600C" w:rsidR="004B3761">
        <w:t>ing</w:t>
      </w:r>
      <w:r w:rsidRPr="0086600C" w:rsidR="00E94198">
        <w:t xml:space="preserve"> into a windowless storage room of a school library for the </w:t>
      </w:r>
      <w:r w:rsidRPr="0086600C" w:rsidR="004B3761">
        <w:t xml:space="preserve">next twenty minutes until there was </w:t>
      </w:r>
      <w:r w:rsidR="006C1852">
        <w:t xml:space="preserve">a </w:t>
      </w:r>
      <w:r w:rsidRPr="0086600C" w:rsidR="004B3761">
        <w:t>Twitter message that the alert was false.</w:t>
      </w:r>
      <w:r>
        <w:rPr>
          <w:rStyle w:val="FootnoteReference"/>
          <w:szCs w:val="22"/>
        </w:rPr>
        <w:footnoteReference w:id="9"/>
      </w:r>
      <w:r w:rsidRPr="0086600C" w:rsidR="004B3761">
        <w:t xml:space="preserve">  Because the NAD members were deaf</w:t>
      </w:r>
      <w:r w:rsidRPr="0086600C" w:rsidR="00841A4C">
        <w:t xml:space="preserve"> and </w:t>
      </w:r>
      <w:r w:rsidR="00570D36">
        <w:t xml:space="preserve">had taken cover in a </w:t>
      </w:r>
      <w:r w:rsidR="003E32D9">
        <w:t>storage area</w:t>
      </w:r>
      <w:r w:rsidRPr="0086600C" w:rsidR="004B3761">
        <w:t xml:space="preserve">, they </w:t>
      </w:r>
      <w:r w:rsidRPr="0086600C" w:rsidR="00841A4C">
        <w:t xml:space="preserve">were unable to </w:t>
      </w:r>
      <w:r w:rsidR="003E32D9">
        <w:t>get</w:t>
      </w:r>
      <w:r w:rsidRPr="0086600C" w:rsidR="003E32D9">
        <w:t xml:space="preserve"> </w:t>
      </w:r>
      <w:r w:rsidRPr="0086600C" w:rsidR="004B3761">
        <w:t>any radio or television news broadcasts that the alert was false</w:t>
      </w:r>
      <w:r w:rsidRPr="0086600C" w:rsidR="001A2CCA">
        <w:t>, and lived in terrifying uncertainty for twenty long minutes</w:t>
      </w:r>
      <w:r w:rsidRPr="0086600C" w:rsidR="004B3761">
        <w:t>.</w:t>
      </w:r>
      <w:r>
        <w:rPr>
          <w:rStyle w:val="FootnoteReference"/>
        </w:rPr>
        <w:footnoteReference w:id="10"/>
      </w:r>
      <w:r w:rsidRPr="0086600C" w:rsidR="00216BF3">
        <w:t xml:space="preserve">  </w:t>
      </w:r>
    </w:p>
    <w:p w:rsidR="00E9413C" w:rsidRPr="007E0857" w:rsidP="007E0857">
      <w:pPr>
        <w:pStyle w:val="ParaNum"/>
        <w:tabs>
          <w:tab w:val="num" w:pos="1440"/>
        </w:tabs>
        <w:ind w:left="0"/>
        <w:rPr>
          <w:snapToGrid/>
          <w:kern w:val="0"/>
          <w:szCs w:val="22"/>
        </w:rPr>
      </w:pPr>
      <w:r w:rsidRPr="007E0857">
        <w:rPr>
          <w:snapToGrid/>
          <w:kern w:val="0"/>
          <w:szCs w:val="22"/>
        </w:rPr>
        <w:t>On January 13, 2018</w:t>
      </w:r>
      <w:r w:rsidR="000D0CEB">
        <w:rPr>
          <w:snapToGrid/>
          <w:kern w:val="0"/>
          <w:szCs w:val="22"/>
        </w:rPr>
        <w:t>,</w:t>
      </w:r>
      <w:r w:rsidRPr="007E0857">
        <w:rPr>
          <w:snapToGrid/>
          <w:kern w:val="0"/>
          <w:szCs w:val="22"/>
        </w:rPr>
        <w:t xml:space="preserve"> at approximately 1:15 p.m. (E</w:t>
      </w:r>
      <w:r w:rsidR="000D0B20">
        <w:rPr>
          <w:snapToGrid/>
          <w:kern w:val="0"/>
          <w:szCs w:val="22"/>
        </w:rPr>
        <w:t>S</w:t>
      </w:r>
      <w:r w:rsidRPr="007E0857">
        <w:rPr>
          <w:snapToGrid/>
          <w:kern w:val="0"/>
          <w:szCs w:val="22"/>
        </w:rPr>
        <w:t xml:space="preserve">T) (8:15 a.m. HST) – </w:t>
      </w:r>
      <w:r w:rsidR="00F852BD">
        <w:rPr>
          <w:snapToGrid/>
          <w:kern w:val="0"/>
          <w:szCs w:val="22"/>
        </w:rPr>
        <w:t>a</w:t>
      </w:r>
      <w:r w:rsidRPr="007E0857">
        <w:rPr>
          <w:snapToGrid/>
          <w:kern w:val="0"/>
          <w:szCs w:val="22"/>
        </w:rPr>
        <w:t xml:space="preserve"> senior Bureau leader with family on the islands notified the FCC Operations Center that Hawaii </w:t>
      </w:r>
      <w:r w:rsidR="003302C1">
        <w:rPr>
          <w:snapToGrid/>
          <w:kern w:val="0"/>
          <w:szCs w:val="22"/>
        </w:rPr>
        <w:t xml:space="preserve">had </w:t>
      </w:r>
      <w:r w:rsidRPr="007E0857">
        <w:rPr>
          <w:snapToGrid/>
          <w:kern w:val="0"/>
          <w:szCs w:val="22"/>
        </w:rPr>
        <w:t xml:space="preserve">received a false emergency alert.  Consistent with its protocol, the FCC Operations Center contacted the </w:t>
      </w:r>
      <w:r w:rsidR="00132966">
        <w:rPr>
          <w:snapToGrid/>
          <w:kern w:val="0"/>
          <w:szCs w:val="22"/>
        </w:rPr>
        <w:t>U.S. Department of Homeland Security (</w:t>
      </w:r>
      <w:r w:rsidRPr="007E0857">
        <w:rPr>
          <w:snapToGrid/>
          <w:kern w:val="0"/>
          <w:szCs w:val="22"/>
        </w:rPr>
        <w:t>DHS</w:t>
      </w:r>
      <w:r w:rsidR="00132966">
        <w:rPr>
          <w:snapToGrid/>
          <w:kern w:val="0"/>
          <w:szCs w:val="22"/>
        </w:rPr>
        <w:t>)</w:t>
      </w:r>
      <w:r w:rsidRPr="007E0857">
        <w:rPr>
          <w:snapToGrid/>
          <w:kern w:val="0"/>
          <w:szCs w:val="22"/>
        </w:rPr>
        <w:t xml:space="preserve"> National Operations Center, which confirmed the alert was false.  The </w:t>
      </w:r>
      <w:r w:rsidR="00132966">
        <w:rPr>
          <w:snapToGrid/>
          <w:kern w:val="0"/>
          <w:szCs w:val="22"/>
        </w:rPr>
        <w:t xml:space="preserve">FCC </w:t>
      </w:r>
      <w:r w:rsidRPr="007E0857">
        <w:rPr>
          <w:snapToGrid/>
          <w:kern w:val="0"/>
          <w:szCs w:val="22"/>
        </w:rPr>
        <w:t>Operations Center contacted Bureau leadership at 1:42 p.m. (E</w:t>
      </w:r>
      <w:r w:rsidR="000D0B20">
        <w:rPr>
          <w:snapToGrid/>
          <w:kern w:val="0"/>
          <w:szCs w:val="22"/>
        </w:rPr>
        <w:t>S</w:t>
      </w:r>
      <w:r w:rsidRPr="007E0857">
        <w:rPr>
          <w:snapToGrid/>
          <w:kern w:val="0"/>
          <w:szCs w:val="22"/>
        </w:rPr>
        <w:t>T) to ensure they were aware of the incident and the DHS confirmation of the alert as false.</w:t>
      </w:r>
      <w:r w:rsidRPr="007E0857" w:rsidR="007E0857">
        <w:rPr>
          <w:snapToGrid/>
          <w:kern w:val="0"/>
          <w:szCs w:val="22"/>
        </w:rPr>
        <w:t xml:space="preserve">  </w:t>
      </w:r>
      <w:r w:rsidR="00425314">
        <w:rPr>
          <w:snapToGrid/>
          <w:kern w:val="0"/>
          <w:szCs w:val="22"/>
        </w:rPr>
        <w:t xml:space="preserve">During this time, Bureau leadership was also in touch with the Federal Emergency Management Agency (FEMA) concerning the false alert.  </w:t>
      </w:r>
      <w:r w:rsidRPr="007E0857">
        <w:rPr>
          <w:szCs w:val="22"/>
        </w:rPr>
        <w:t xml:space="preserve">Federal Communications Commission (Commission) Chairman Ajit Pai immediately directed the </w:t>
      </w:r>
      <w:r w:rsidR="00F852BD">
        <w:rPr>
          <w:szCs w:val="22"/>
        </w:rPr>
        <w:t>Bureau</w:t>
      </w:r>
      <w:r w:rsidRPr="007E0857">
        <w:rPr>
          <w:szCs w:val="22"/>
        </w:rPr>
        <w:t xml:space="preserve"> to investigate the facts and circumstances around the transmission of the January 13</w:t>
      </w:r>
      <w:r w:rsidRPr="002E638A">
        <w:t>th</w:t>
      </w:r>
      <w:r w:rsidRPr="007E0857">
        <w:rPr>
          <w:szCs w:val="22"/>
        </w:rPr>
        <w:t xml:space="preserve"> false alert.  Specifically, Chairman Pai </w:t>
      </w:r>
      <w:r w:rsidRPr="007E0857">
        <w:rPr>
          <w:snapToGrid/>
          <w:kern w:val="0"/>
          <w:szCs w:val="22"/>
        </w:rPr>
        <w:t>instructed the Bureau to start a full investigation into this event, focusing on two key questions: “What went wrong?  And what needs to be done to stop a similar mistake from happening in the future?”</w:t>
      </w:r>
      <w:r>
        <w:rPr>
          <w:rStyle w:val="FootnoteReference"/>
          <w:kern w:val="0"/>
          <w:szCs w:val="22"/>
        </w:rPr>
        <w:footnoteReference w:id="11"/>
      </w:r>
    </w:p>
    <w:p w:rsidR="007E0857" w:rsidRPr="007E0857" w:rsidP="00132966">
      <w:pPr>
        <w:pStyle w:val="ParaNum"/>
        <w:ind w:left="0"/>
      </w:pPr>
      <w:r w:rsidRPr="007E0857">
        <w:t>O</w:t>
      </w:r>
      <w:r w:rsidRPr="007E0857">
        <w:rPr>
          <w:bCs/>
        </w:rPr>
        <w:t xml:space="preserve">n January 18, 2018, the Bureau dispatched two investigators to Hawaii.  On January 18 and 19, 2018, the Bureau investigators met with HI-EMA staff, </w:t>
      </w:r>
      <w:r w:rsidRPr="00425314" w:rsidR="00425314">
        <w:rPr>
          <w:bCs/>
          <w:szCs w:val="22"/>
        </w:rPr>
        <w:t>United States Pacific Command (</w:t>
      </w:r>
      <w:r w:rsidRPr="007E0857">
        <w:rPr>
          <w:bCs/>
        </w:rPr>
        <w:t>PACOM</w:t>
      </w:r>
      <w:r w:rsidR="00425314">
        <w:rPr>
          <w:bCs/>
        </w:rPr>
        <w:t>)</w:t>
      </w:r>
      <w:r w:rsidRPr="007E0857">
        <w:rPr>
          <w:bCs/>
        </w:rPr>
        <w:t xml:space="preserve">, the </w:t>
      </w:r>
      <w:r w:rsidR="00132966">
        <w:rPr>
          <w:bCs/>
        </w:rPr>
        <w:t>Hawaii State Emergency Communications Committee (</w:t>
      </w:r>
      <w:r w:rsidR="000D0B20">
        <w:rPr>
          <w:bCs/>
        </w:rPr>
        <w:t xml:space="preserve">Hawaii </w:t>
      </w:r>
      <w:r w:rsidRPr="007E0857">
        <w:rPr>
          <w:bCs/>
        </w:rPr>
        <w:t>SECC</w:t>
      </w:r>
      <w:r w:rsidR="00132966">
        <w:rPr>
          <w:bCs/>
        </w:rPr>
        <w:t>)</w:t>
      </w:r>
      <w:r w:rsidRPr="007E0857">
        <w:rPr>
          <w:bCs/>
        </w:rPr>
        <w:t>, and Hawaii legislators.</w:t>
      </w:r>
      <w:r>
        <w:rPr>
          <w:rStyle w:val="FootnoteReference"/>
          <w:bCs/>
        </w:rPr>
        <w:footnoteReference w:id="12"/>
      </w:r>
      <w:r w:rsidRPr="007E0857">
        <w:rPr>
          <w:bCs/>
        </w:rPr>
        <w:t xml:space="preserve">  Between January 18, 2018 and January 26, 2018, Bureau staff also interviewed alert stakeholders, including emergency managers, wireless providers, the Hawaii Association of Broadcasters</w:t>
      </w:r>
      <w:r w:rsidR="00306A6F">
        <w:rPr>
          <w:bCs/>
        </w:rPr>
        <w:t xml:space="preserve"> (HAB)</w:t>
      </w:r>
      <w:r w:rsidRPr="007E0857">
        <w:rPr>
          <w:bCs/>
        </w:rPr>
        <w:t xml:space="preserve">, </w:t>
      </w:r>
      <w:r w:rsidRPr="00DD55CA" w:rsidR="00E9413C">
        <w:t>alert origination software providers</w:t>
      </w:r>
      <w:r w:rsidR="001611D1">
        <w:t>—</w:t>
      </w:r>
      <w:r w:rsidR="00E9413C">
        <w:t>including the vendor that supplied HI-EMA’s alerting software</w:t>
      </w:r>
      <w:r w:rsidR="001611D1">
        <w:t>—</w:t>
      </w:r>
      <w:r w:rsidRPr="00DD55CA" w:rsidR="00E9413C">
        <w:t xml:space="preserve">and emergency management agencies </w:t>
      </w:r>
      <w:r w:rsidR="00E9413C">
        <w:t xml:space="preserve">in other parts of the United States </w:t>
      </w:r>
      <w:r w:rsidRPr="00DD55CA" w:rsidR="00E9413C">
        <w:t xml:space="preserve">to gather </w:t>
      </w:r>
      <w:r w:rsidR="00E9413C">
        <w:t>information on what safeguards exist to minimize the risk of false alerts and</w:t>
      </w:r>
      <w:r w:rsidRPr="00DD55CA" w:rsidR="00E9413C">
        <w:t xml:space="preserve"> </w:t>
      </w:r>
      <w:r w:rsidR="00E9413C">
        <w:t>guide</w:t>
      </w:r>
      <w:r w:rsidRPr="00DD55CA" w:rsidR="00E9413C">
        <w:t xml:space="preserve"> </w:t>
      </w:r>
      <w:r w:rsidR="006760BD">
        <w:t xml:space="preserve">Bureau </w:t>
      </w:r>
      <w:r w:rsidRPr="00DD55CA" w:rsidR="00E9413C">
        <w:t>analysis of HI-EMA’s practices and technology.</w:t>
      </w:r>
      <w:r>
        <w:rPr>
          <w:rStyle w:val="FootnoteReference"/>
          <w:szCs w:val="22"/>
        </w:rPr>
        <w:footnoteReference w:id="13"/>
      </w:r>
      <w:r>
        <w:t xml:space="preserve">  </w:t>
      </w:r>
      <w:r w:rsidRPr="001611D1">
        <w:rPr>
          <w:bCs/>
        </w:rPr>
        <w:t xml:space="preserve">Based on the Bureau’s initial investigation, the Bureau presented its preliminary findings on January 30, 2018.  Following the Bureau’s preliminary presentation, the Bureau staff continued to investigate the impact of the false alert and correction on the delivery of EAS and WEA, Hawaii’s 911 system, and priority telecommunications service.  Today’s report advances the Bureau’s goal to facilitate a conversation with alerting stakeholders on how to ensure the integrity of the EAS and WEA. </w:t>
      </w:r>
    </w:p>
    <w:p w:rsidR="00E9413C" w:rsidP="00D435D7">
      <w:pPr>
        <w:pStyle w:val="ParaNum"/>
        <w:ind w:left="0"/>
      </w:pPr>
      <w:r>
        <w:t xml:space="preserve">This report presents the Bureau’s findings and recommendations, based on the Bureau’s investigation, </w:t>
      </w:r>
      <w:r w:rsidR="003E28AC">
        <w:t xml:space="preserve">the </w:t>
      </w:r>
      <w:r w:rsidRPr="006753A3" w:rsidR="003E28AC">
        <w:rPr>
          <w:i/>
        </w:rPr>
        <w:t>HI-EMA Report</w:t>
      </w:r>
      <w:r>
        <w:t>,</w:t>
      </w:r>
      <w:r>
        <w:rPr>
          <w:rStyle w:val="FootnoteReference"/>
          <w:szCs w:val="22"/>
        </w:rPr>
        <w:footnoteReference w:id="14"/>
      </w:r>
      <w:r w:rsidR="006509C1">
        <w:t xml:space="preserve"> </w:t>
      </w:r>
      <w:r>
        <w:t xml:space="preserve">HI-EMA’s January </w:t>
      </w:r>
      <w:r w:rsidR="00092D05">
        <w:t>30</w:t>
      </w:r>
      <w:r>
        <w:t>, 2018</w:t>
      </w:r>
      <w:r w:rsidR="00D155EA">
        <w:t>,</w:t>
      </w:r>
      <w:r>
        <w:t xml:space="preserve"> press conference regarding the </w:t>
      </w:r>
      <w:r w:rsidRPr="00D435D7" w:rsidR="00355429">
        <w:rPr>
          <w:i/>
        </w:rPr>
        <w:t>HI-EMA</w:t>
      </w:r>
      <w:r w:rsidR="00355429">
        <w:t xml:space="preserve"> </w:t>
      </w:r>
      <w:r w:rsidRPr="00D435D7" w:rsidR="00355429">
        <w:rPr>
          <w:i/>
        </w:rPr>
        <w:t>Report’s</w:t>
      </w:r>
      <w:r w:rsidR="00355429">
        <w:t xml:space="preserve"> findings</w:t>
      </w:r>
      <w:r w:rsidR="008C77D5">
        <w:t>,</w:t>
      </w:r>
      <w:bookmarkStart w:id="42" w:name="_Ref509475538"/>
      <w:r>
        <w:rPr>
          <w:rStyle w:val="FootnoteReference"/>
          <w:szCs w:val="22"/>
        </w:rPr>
        <w:footnoteReference w:id="15"/>
      </w:r>
      <w:bookmarkEnd w:id="42"/>
      <w:r w:rsidR="008C77D5">
        <w:t xml:space="preserve"> the </w:t>
      </w:r>
      <w:r w:rsidRPr="00D435D7" w:rsidR="008C77D5">
        <w:rPr>
          <w:i/>
        </w:rPr>
        <w:t>Hawaii</w:t>
      </w:r>
      <w:r w:rsidRPr="00D435D7" w:rsidR="00856BE6">
        <w:rPr>
          <w:i/>
        </w:rPr>
        <w:t xml:space="preserve"> </w:t>
      </w:r>
      <w:r w:rsidRPr="00D435D7" w:rsidR="00DD67C5">
        <w:rPr>
          <w:i/>
        </w:rPr>
        <w:t>Preparedness</w:t>
      </w:r>
      <w:r w:rsidRPr="00D435D7" w:rsidR="00856BE6">
        <w:rPr>
          <w:i/>
        </w:rPr>
        <w:t xml:space="preserve"> Report</w:t>
      </w:r>
      <w:r w:rsidR="007A1917">
        <w:t>,</w:t>
      </w:r>
      <w:r>
        <w:rPr>
          <w:rStyle w:val="FootnoteReference"/>
          <w:szCs w:val="22"/>
        </w:rPr>
        <w:footnoteReference w:id="16"/>
      </w:r>
      <w:r w:rsidR="007A1917">
        <w:t xml:space="preserve"> HI-EMA’s publicly released audio recordin</w:t>
      </w:r>
      <w:r w:rsidR="00077BBE">
        <w:t xml:space="preserve">g of the internal </w:t>
      </w:r>
      <w:r w:rsidR="007A1917">
        <w:t>drill</w:t>
      </w:r>
      <w:r w:rsidR="00077BBE">
        <w:t xml:space="preserve"> initiation message</w:t>
      </w:r>
      <w:r w:rsidR="002946C6">
        <w:t>,</w:t>
      </w:r>
      <w:bookmarkStart w:id="43" w:name="_Ref509520447"/>
      <w:r>
        <w:rPr>
          <w:rStyle w:val="FootnoteReference"/>
        </w:rPr>
        <w:footnoteReference w:id="17"/>
      </w:r>
      <w:bookmarkEnd w:id="43"/>
      <w:r w:rsidR="002946C6">
        <w:t xml:space="preserve"> and the testimony submitted </w:t>
      </w:r>
      <w:r w:rsidR="009D3DD5">
        <w:t xml:space="preserve">in connection with </w:t>
      </w:r>
      <w:r w:rsidR="002946C6">
        <w:t>the April 5, 2018 Senate field hearing in Hawaii.</w:t>
      </w:r>
      <w:r>
        <w:rPr>
          <w:rStyle w:val="FootnoteReference"/>
        </w:rPr>
        <w:footnoteReference w:id="18"/>
      </w:r>
      <w:r>
        <w:t xml:space="preserve">  As set forth in greater detail below, the</w:t>
      </w:r>
      <w:r w:rsidRPr="008B7554">
        <w:t xml:space="preserve"> Bureau find</w:t>
      </w:r>
      <w:r>
        <w:t xml:space="preserve">s that a </w:t>
      </w:r>
      <w:r w:rsidRPr="00E0264D">
        <w:t>combination of human error and inadequate safeguards contributed to the transmission of th</w:t>
      </w:r>
      <w:r w:rsidR="003E28AC">
        <w:t xml:space="preserve">e January 13 </w:t>
      </w:r>
      <w:r w:rsidRPr="00E0264D">
        <w:t>false alert.</w:t>
      </w:r>
      <w:r w:rsidRPr="00296092">
        <w:t xml:space="preserve">  </w:t>
      </w:r>
      <w:r w:rsidR="0082484D">
        <w:t>Neither t</w:t>
      </w:r>
      <w:r w:rsidRPr="00277BBA">
        <w:t xml:space="preserve">he false alert </w:t>
      </w:r>
      <w:r w:rsidR="0082484D">
        <w:t xml:space="preserve">nor </w:t>
      </w:r>
      <w:r w:rsidRPr="00277BBA">
        <w:t xml:space="preserve">the 38-minute delay </w:t>
      </w:r>
      <w:r w:rsidR="0082484D">
        <w:t xml:space="preserve">to </w:t>
      </w:r>
      <w:r w:rsidRPr="00277BBA">
        <w:t xml:space="preserve">correct the false alert would have </w:t>
      </w:r>
      <w:r w:rsidR="0082484D">
        <w:t xml:space="preserve">occurred </w:t>
      </w:r>
      <w:r w:rsidRPr="00277BBA">
        <w:t>had Hawaii implemented reasonable safeguards and protocols before January 13, 2018</w:t>
      </w:r>
      <w:r w:rsidR="000D0B20">
        <w:t>,</w:t>
      </w:r>
      <w:r w:rsidRPr="00277BBA">
        <w:t xml:space="preserve"> to minimize the risk </w:t>
      </w:r>
      <w:r w:rsidR="0082484D">
        <w:t xml:space="preserve">that HI-EMA would issue a false alert, and to ensure that HI-EMA would be able to issue a rapid correction </w:t>
      </w:r>
      <w:r w:rsidRPr="00277BBA">
        <w:t xml:space="preserve">of </w:t>
      </w:r>
      <w:r w:rsidR="0082484D">
        <w:t xml:space="preserve">any </w:t>
      </w:r>
      <w:r w:rsidRPr="00277BBA">
        <w:t>false alert</w:t>
      </w:r>
      <w:r w:rsidR="0082484D">
        <w:t xml:space="preserve"> that was delivered to the public</w:t>
      </w:r>
      <w:r w:rsidRPr="00277BBA">
        <w:t xml:space="preserve">.  </w:t>
      </w:r>
      <w:r w:rsidR="00446083">
        <w:t xml:space="preserve">This report also notes the measures that the State of </w:t>
      </w:r>
      <w:r w:rsidR="006917B1">
        <w:t xml:space="preserve">Hawaii has taken to </w:t>
      </w:r>
      <w:r w:rsidRPr="00E0264D" w:rsidR="006917B1">
        <w:t>ensure that an event like this does not happen again</w:t>
      </w:r>
      <w:r w:rsidR="00446083">
        <w:t xml:space="preserve">, such as its recent review of the state’s overall preparedness posture in the </w:t>
      </w:r>
      <w:r w:rsidRPr="00D435D7" w:rsidR="00446083">
        <w:rPr>
          <w:i/>
        </w:rPr>
        <w:t>Hawaii Preparedness Report</w:t>
      </w:r>
      <w:r w:rsidR="00446083">
        <w:t>.</w:t>
      </w:r>
      <w:r>
        <w:rPr>
          <w:rStyle w:val="FootnoteReference"/>
          <w:szCs w:val="22"/>
        </w:rPr>
        <w:footnoteReference w:id="19"/>
      </w:r>
      <w:r w:rsidR="00446083">
        <w:t xml:space="preserve">  </w:t>
      </w:r>
      <w:bookmarkStart w:id="44" w:name="_Hlk504742767"/>
    </w:p>
    <w:p w:rsidR="00E9413C" w:rsidRPr="00B936A7" w:rsidP="00E9413C">
      <w:pPr>
        <w:pStyle w:val="ParaNum"/>
        <w:tabs>
          <w:tab w:val="num" w:pos="1440"/>
        </w:tabs>
        <w:ind w:left="0"/>
      </w:pPr>
      <w:r>
        <w:t xml:space="preserve">With respect to lessons learned, the facts and circumstances surrounding the Hawaii false missile alert provide valuable insights into measures that stakeholders can take to minimize and mitigate the risk of false alerts.  The report identifies best practices, first and foremost, to guard against the issuance of false alerts, and second, if a false alert is nonetheless issued, to swiftly correct the misinformation and mitigate the consequences.  The Bureau will continue to work with Hawaii, as well as with other </w:t>
      </w:r>
      <w:r w:rsidR="009747E6">
        <w:t>f</w:t>
      </w:r>
      <w:r>
        <w:t xml:space="preserve">ederal, state, local, </w:t>
      </w:r>
      <w:r w:rsidR="005B7209">
        <w:t>T</w:t>
      </w:r>
      <w:r>
        <w:t xml:space="preserve">ribal and </w:t>
      </w:r>
      <w:r w:rsidR="009747E6">
        <w:t>t</w:t>
      </w:r>
      <w:r>
        <w:t>erritorial officials</w:t>
      </w:r>
      <w:r w:rsidR="00DC03E1">
        <w:t>,</w:t>
      </w:r>
      <w:r>
        <w:t xml:space="preserve"> to promote awareness of these best practices and to help ensure our nation’s alerting systems are reliable and effective.  </w:t>
      </w:r>
      <w:bookmarkEnd w:id="44"/>
    </w:p>
    <w:p w:rsidR="00E9413C" w:rsidP="00E9413C">
      <w:pPr>
        <w:pStyle w:val="Heading1"/>
        <w:rPr>
          <w:szCs w:val="22"/>
        </w:rPr>
      </w:pPr>
      <w:bookmarkStart w:id="45" w:name="_Toc481769918"/>
      <w:bookmarkStart w:id="46" w:name="_Toc482007239"/>
      <w:bookmarkStart w:id="47" w:name="_Toc482282833"/>
      <w:bookmarkStart w:id="48" w:name="_Toc482370859"/>
      <w:bookmarkStart w:id="49" w:name="_Toc482700860"/>
      <w:bookmarkStart w:id="50" w:name="_Toc482706525"/>
      <w:bookmarkStart w:id="51" w:name="_Toc504394485"/>
      <w:bookmarkStart w:id="52" w:name="_Toc504583129"/>
      <w:bookmarkStart w:id="53" w:name="_Toc504589349"/>
      <w:bookmarkStart w:id="54" w:name="_Toc504643918"/>
      <w:bookmarkStart w:id="55" w:name="_Toc504673423"/>
      <w:bookmarkStart w:id="56" w:name="_Toc504733594"/>
      <w:bookmarkStart w:id="57" w:name="_Toc505854705"/>
      <w:bookmarkStart w:id="58" w:name="_Toc507499223"/>
      <w:bookmarkStart w:id="59" w:name="_Toc511031490"/>
      <w:bookmarkStart w:id="60" w:name="_Toc480810196"/>
      <w:bookmarkStart w:id="61" w:name="_Toc480810309"/>
      <w:bookmarkStart w:id="62" w:name="_Toc480814316"/>
      <w:bookmarkStart w:id="63" w:name="_Toc480875853"/>
      <w:bookmarkStart w:id="64" w:name="_Toc481075314"/>
      <w:bookmarkStart w:id="65" w:name="_Toc481156444"/>
      <w:bookmarkStart w:id="66" w:name="_Toc481165581"/>
      <w:bookmarkStart w:id="67" w:name="_Toc481485320"/>
      <w:bookmarkStart w:id="68" w:name="_Toc481507580"/>
      <w:r w:rsidRPr="00100E73">
        <w:rPr>
          <w:szCs w:val="22"/>
        </w:rPr>
        <w:t>BACKGROUND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9413C" w:rsidP="00E9413C">
      <w:pPr>
        <w:pStyle w:val="ParaNum"/>
        <w:tabs>
          <w:tab w:val="num" w:pos="1440"/>
        </w:tabs>
        <w:ind w:left="0"/>
      </w:pPr>
      <w:bookmarkStart w:id="69" w:name="_Toc481769919"/>
      <w:bookmarkStart w:id="70" w:name="_Toc482007240"/>
      <w:bookmarkStart w:id="71" w:name="_Toc482282834"/>
      <w:bookmarkStart w:id="72" w:name="_Toc482370860"/>
      <w:bookmarkStart w:id="73" w:name="_Toc482700861"/>
      <w:bookmarkStart w:id="74" w:name="_Toc482706526"/>
      <w:bookmarkStart w:id="75" w:name="_Toc504394486"/>
      <w:r>
        <w:t xml:space="preserve">Under </w:t>
      </w:r>
      <w:r w:rsidRPr="00F865DF">
        <w:t xml:space="preserve">the Communications Act of 1934, as amended, the Commission </w:t>
      </w:r>
      <w:r w:rsidR="00B23EF5">
        <w:t>is tasked with promoting the</w:t>
      </w:r>
      <w:r w:rsidRPr="00F865DF">
        <w:t xml:space="preserve"> safety of life and p</w:t>
      </w:r>
      <w:r>
        <w:t>roperty through communications.</w:t>
      </w:r>
      <w:r>
        <w:rPr>
          <w:rStyle w:val="FootnoteReference"/>
        </w:rPr>
        <w:footnoteReference w:id="20"/>
      </w:r>
      <w:r>
        <w:t xml:space="preserve">  The Commission supports emergency preparedness and response activities in coordination wi</w:t>
      </w:r>
      <w:r w:rsidR="00D155EA">
        <w:t>th Federal agencies, including DHS</w:t>
      </w:r>
      <w:r>
        <w:t>.  The Commission also serves as a resource and information clearinghouse on public safety and homeland security issues</w:t>
      </w:r>
      <w:r w:rsidRPr="008850CD" w:rsidR="008850CD">
        <w:t xml:space="preserve"> </w:t>
      </w:r>
      <w:r w:rsidR="00B51F7F">
        <w:t xml:space="preserve">for </w:t>
      </w:r>
      <w:r w:rsidR="008850CD">
        <w:t xml:space="preserve">communications licensees and </w:t>
      </w:r>
      <w:r w:rsidR="00BF0960">
        <w:t xml:space="preserve">other </w:t>
      </w:r>
      <w:r w:rsidR="008850CD">
        <w:t>service</w:t>
      </w:r>
      <w:r w:rsidR="00B51F7F">
        <w:t xml:space="preserve"> providers as well as other stakeholders</w:t>
      </w:r>
      <w:r>
        <w:t xml:space="preserve">.  Among </w:t>
      </w:r>
      <w:r w:rsidR="00B51F7F">
        <w:t xml:space="preserve">its </w:t>
      </w:r>
      <w:r>
        <w:t>responsibilities, t</w:t>
      </w:r>
      <w:r w:rsidRPr="00F865DF">
        <w:t xml:space="preserve">he Commission works with </w:t>
      </w:r>
      <w:r w:rsidR="0057309D">
        <w:t>F</w:t>
      </w:r>
      <w:r>
        <w:t>EMA</w:t>
      </w:r>
      <w:r w:rsidR="006760BD">
        <w:t xml:space="preserve"> </w:t>
      </w:r>
      <w:r>
        <w:t>and</w:t>
      </w:r>
      <w:r w:rsidRPr="00F865DF">
        <w:t xml:space="preserve"> other Federal government partners, state, local</w:t>
      </w:r>
      <w:r w:rsidR="00D155EA">
        <w:t xml:space="preserve">, </w:t>
      </w:r>
      <w:r w:rsidR="00637578">
        <w:t>T</w:t>
      </w:r>
      <w:r w:rsidR="00D155EA">
        <w:t>ribal</w:t>
      </w:r>
      <w:r w:rsidR="004A368D">
        <w:t>,</w:t>
      </w:r>
      <w:r w:rsidRPr="00F865DF">
        <w:t xml:space="preserve"> and territorial </w:t>
      </w:r>
      <w:r w:rsidR="00637578">
        <w:t>entities</w:t>
      </w:r>
      <w:r w:rsidR="004A368D">
        <w:t>,</w:t>
      </w:r>
      <w:r w:rsidRPr="00F865DF">
        <w:t xml:space="preserve"> and the communications industry to provide an effective and reliable national emergency alert and warning system.</w:t>
      </w:r>
      <w:r>
        <w:t xml:space="preserve"> </w:t>
      </w:r>
      <w:r w:rsidRPr="00296092">
        <w:rPr>
          <w:snapToGrid/>
          <w:kern w:val="0"/>
          <w:szCs w:val="22"/>
        </w:rPr>
        <w:t xml:space="preserve"> </w:t>
      </w:r>
      <w:r w:rsidR="0057309D">
        <w:rPr>
          <w:snapToGrid/>
          <w:kern w:val="0"/>
          <w:szCs w:val="22"/>
        </w:rPr>
        <w:t>Along with FEMA, which administers the Integrated Public Alert and Warning System (IPAWS), t</w:t>
      </w:r>
      <w:r w:rsidRPr="00F865DF">
        <w:t xml:space="preserve">he FCC </w:t>
      </w:r>
      <w:r w:rsidR="00837932">
        <w:t xml:space="preserve">oversees the operation of the </w:t>
      </w:r>
      <w:r w:rsidRPr="00F865DF">
        <w:t xml:space="preserve">two </w:t>
      </w:r>
      <w:r w:rsidR="00837932">
        <w:t xml:space="preserve">IPAWS </w:t>
      </w:r>
      <w:r w:rsidRPr="00F865DF">
        <w:t>nati</w:t>
      </w:r>
      <w:r>
        <w:t>onwide emergency alert systems</w:t>
      </w:r>
      <w:r w:rsidR="008078C3">
        <w:t xml:space="preserve">, </w:t>
      </w:r>
      <w:r>
        <w:t>EAS</w:t>
      </w:r>
      <w:r w:rsidRPr="00F865DF">
        <w:t xml:space="preserve"> and </w:t>
      </w:r>
      <w:r>
        <w:t>WEA</w:t>
      </w:r>
      <w:r w:rsidR="00204778">
        <w:t>,</w:t>
      </w:r>
      <w:r w:rsidR="003F0E85">
        <w:t xml:space="preserve"> </w:t>
      </w:r>
      <w:r w:rsidR="00837932">
        <w:t xml:space="preserve">by </w:t>
      </w:r>
      <w:r w:rsidR="0057309D">
        <w:t xml:space="preserve">adopting </w:t>
      </w:r>
      <w:r w:rsidR="003F0E85">
        <w:rPr>
          <w:szCs w:val="22"/>
        </w:rPr>
        <w:t>rules</w:t>
      </w:r>
      <w:r w:rsidRPr="00296092" w:rsidR="003F0E85">
        <w:rPr>
          <w:szCs w:val="22"/>
        </w:rPr>
        <w:t xml:space="preserve"> </w:t>
      </w:r>
      <w:r w:rsidR="003F0E85">
        <w:rPr>
          <w:szCs w:val="22"/>
        </w:rPr>
        <w:t xml:space="preserve">that address the transmission of alerts disseminated through those systems by </w:t>
      </w:r>
      <w:r w:rsidRPr="00296092" w:rsidR="003F0E85">
        <w:rPr>
          <w:szCs w:val="22"/>
        </w:rPr>
        <w:t xml:space="preserve">communications </w:t>
      </w:r>
      <w:r w:rsidR="003F0E85">
        <w:rPr>
          <w:szCs w:val="22"/>
        </w:rPr>
        <w:t xml:space="preserve">service </w:t>
      </w:r>
      <w:r w:rsidRPr="00296092" w:rsidR="003F0E85">
        <w:rPr>
          <w:szCs w:val="22"/>
        </w:rPr>
        <w:t>providers</w:t>
      </w:r>
      <w:r w:rsidR="004C556F">
        <w:rPr>
          <w:szCs w:val="22"/>
        </w:rPr>
        <w:t>,</w:t>
      </w:r>
      <w:r w:rsidR="003F0E85">
        <w:rPr>
          <w:szCs w:val="22"/>
        </w:rPr>
        <w:t xml:space="preserve"> such as broadcasters and wireless </w:t>
      </w:r>
      <w:r w:rsidR="00971DC6">
        <w:rPr>
          <w:szCs w:val="22"/>
        </w:rPr>
        <w:t>provider</w:t>
      </w:r>
      <w:r w:rsidR="003F0E85">
        <w:rPr>
          <w:szCs w:val="22"/>
        </w:rPr>
        <w:t>s</w:t>
      </w:r>
      <w:r w:rsidR="009D5159">
        <w:rPr>
          <w:szCs w:val="22"/>
        </w:rPr>
        <w:t xml:space="preserve">.  </w:t>
      </w:r>
      <w:r w:rsidRPr="00296092">
        <w:rPr>
          <w:szCs w:val="22"/>
        </w:rPr>
        <w:t>The Commission has authority over the communications providers that facilitate transmission of EAS and WEA alerts to the publi</w:t>
      </w:r>
      <w:r>
        <w:rPr>
          <w:szCs w:val="22"/>
        </w:rPr>
        <w:t>c, including their participation in transmitting actual alerts as well as in testing of the alerting systems.</w:t>
      </w:r>
      <w:r>
        <w:rPr>
          <w:rStyle w:val="FootnoteReference"/>
          <w:szCs w:val="22"/>
        </w:rPr>
        <w:footnoteReference w:id="21"/>
      </w:r>
      <w:r>
        <w:rPr>
          <w:szCs w:val="22"/>
        </w:rPr>
        <w:t xml:space="preserve"> </w:t>
      </w:r>
      <w:r w:rsidR="006349ED">
        <w:rPr>
          <w:szCs w:val="22"/>
        </w:rPr>
        <w:t xml:space="preserve"> </w:t>
      </w:r>
      <w:r w:rsidRPr="00296092">
        <w:rPr>
          <w:szCs w:val="22"/>
        </w:rPr>
        <w:t>FEMA authorizes alert originators to transmit alerts using</w:t>
      </w:r>
      <w:r>
        <w:rPr>
          <w:szCs w:val="22"/>
        </w:rPr>
        <w:t xml:space="preserve"> the </w:t>
      </w:r>
      <w:r w:rsidRPr="00843304">
        <w:t>I</w:t>
      </w:r>
      <w:r>
        <w:t>PAWS</w:t>
      </w:r>
      <w:r w:rsidRPr="00296092">
        <w:rPr>
          <w:szCs w:val="22"/>
        </w:rPr>
        <w:t>.</w:t>
      </w:r>
      <w:r>
        <w:rPr>
          <w:rStyle w:val="FootnoteReference"/>
          <w:szCs w:val="22"/>
        </w:rPr>
        <w:footnoteReference w:id="22"/>
      </w:r>
      <w:r w:rsidRPr="00296092">
        <w:rPr>
          <w:rStyle w:val="s1"/>
          <w:szCs w:val="22"/>
          <w:lang w:val="en"/>
        </w:rPr>
        <w:t xml:space="preserve">  </w:t>
      </w:r>
    </w:p>
    <w:p w:rsidR="00E9413C" w:rsidRPr="005F1DA3" w:rsidP="00E652A9">
      <w:pPr>
        <w:pStyle w:val="Heading2"/>
        <w:rPr>
          <w:rStyle w:val="s1"/>
          <w:szCs w:val="20"/>
        </w:rPr>
      </w:pPr>
      <w:bookmarkStart w:id="76" w:name="_Toc507499224"/>
      <w:bookmarkStart w:id="77" w:name="_Toc511031491"/>
      <w:r>
        <w:rPr>
          <w:rStyle w:val="s1"/>
        </w:rPr>
        <w:t>The Emergency Alert System</w:t>
      </w:r>
      <w:bookmarkEnd w:id="76"/>
      <w:bookmarkEnd w:id="77"/>
      <w:r>
        <w:rPr>
          <w:rStyle w:val="s1"/>
        </w:rPr>
        <w:t xml:space="preserve"> </w:t>
      </w:r>
    </w:p>
    <w:p w:rsidR="00972F18" w:rsidRPr="003717BA" w:rsidP="00E9413C">
      <w:pPr>
        <w:pStyle w:val="ParaNum"/>
        <w:tabs>
          <w:tab w:val="num" w:pos="1440"/>
        </w:tabs>
        <w:ind w:left="0"/>
        <w:rPr>
          <w:snapToGrid/>
          <w:color w:val="222222"/>
          <w:kern w:val="0"/>
        </w:rPr>
      </w:pPr>
      <w:r w:rsidRPr="003B1F31">
        <w:t>The EAS is a national public warning system through which</w:t>
      </w:r>
      <w:r>
        <w:t xml:space="preserve"> </w:t>
      </w:r>
      <w:r w:rsidRPr="003B1F31">
        <w:t>EAS Participants deliver alerts to the public to warn them of impending emergencies.</w:t>
      </w:r>
      <w:r>
        <w:rPr>
          <w:szCs w:val="22"/>
          <w:vertAlign w:val="superscript"/>
        </w:rPr>
        <w:footnoteReference w:id="23"/>
      </w:r>
      <w:r w:rsidRPr="003B1F31">
        <w:t xml:space="preserve">  </w:t>
      </w:r>
      <w:r w:rsidRPr="00927C48" w:rsidR="0083524B">
        <w:t>EAS Participants includ</w:t>
      </w:r>
      <w:r w:rsidR="0083524B">
        <w:t>e</w:t>
      </w:r>
      <w:r w:rsidRPr="00927C48" w:rsidR="0083524B">
        <w:t xml:space="preserve"> radio and television broadcast stations, cable systems, wireline video systems, wireless cable systems, direct broadcast satellite service providers, and digital audio radio service providers.</w:t>
      </w:r>
      <w:r>
        <w:rPr>
          <w:rStyle w:val="FootnoteReference"/>
        </w:rPr>
        <w:footnoteReference w:id="24"/>
      </w:r>
      <w:r w:rsidRPr="00927C48" w:rsidR="0083524B">
        <w:t xml:space="preserve">  </w:t>
      </w:r>
      <w:r w:rsidRPr="003B1F31">
        <w:t xml:space="preserve">The </w:t>
      </w:r>
      <w:r>
        <w:t xml:space="preserve">primary purpose of the </w:t>
      </w:r>
      <w:r w:rsidRPr="003B1F31">
        <w:t xml:space="preserve">EAS </w:t>
      </w:r>
      <w:r>
        <w:t xml:space="preserve">is to </w:t>
      </w:r>
      <w:r w:rsidRPr="003B1F31">
        <w:t xml:space="preserve">provide the President of the United States with “the capability </w:t>
      </w:r>
      <w:r>
        <w:t>to</w:t>
      </w:r>
      <w:r w:rsidRPr="003B1F31">
        <w:t xml:space="preserve"> provide immediate communications and information to the general public at the National, State and Local Area levels during periods of national emergency</w:t>
      </w:r>
      <w:r>
        <w:t>.</w:t>
      </w:r>
      <w:r w:rsidRPr="003B1F31">
        <w:t>”</w:t>
      </w:r>
      <w:r>
        <w:rPr>
          <w:szCs w:val="22"/>
          <w:vertAlign w:val="superscript"/>
        </w:rPr>
        <w:footnoteReference w:id="25"/>
      </w:r>
      <w:r w:rsidRPr="003B1F31">
        <w:t xml:space="preserve">  </w:t>
      </w:r>
      <w:r>
        <w:t xml:space="preserve">State and local authorities also use the common distribution architecture of the EAS to distribute voluntary </w:t>
      </w:r>
      <w:r w:rsidRPr="003B1F31">
        <w:t>weather-related and other emergency alerts.</w:t>
      </w:r>
      <w:r>
        <w:rPr>
          <w:sz w:val="20"/>
          <w:vertAlign w:val="superscript"/>
        </w:rPr>
        <w:footnoteReference w:id="26"/>
      </w:r>
      <w:r w:rsidRPr="005863D5">
        <w:rPr>
          <w:rStyle w:val="FootnoteReference"/>
        </w:rPr>
        <w:t xml:space="preserve"> </w:t>
      </w:r>
      <w:r>
        <w:t xml:space="preserve">  </w:t>
      </w:r>
      <w:bookmarkStart w:id="78" w:name="_Hlk507004546"/>
      <w:bookmarkStart w:id="79" w:name="_Hlk507083397"/>
    </w:p>
    <w:p w:rsidR="003717BA" w:rsidRPr="00587858" w:rsidP="00CD08F6">
      <w:pPr>
        <w:pStyle w:val="ParaNum"/>
        <w:ind w:left="0"/>
        <w:rPr>
          <w:snapToGrid/>
          <w:color w:val="222222"/>
          <w:kern w:val="0"/>
        </w:rPr>
      </w:pPr>
      <w:r>
        <w:t xml:space="preserve">The </w:t>
      </w:r>
      <w:r w:rsidR="00080654">
        <w:t xml:space="preserve">EAS is maintained and administered in each state </w:t>
      </w:r>
      <w:r w:rsidRPr="00D813D5" w:rsidR="00080654">
        <w:t>by</w:t>
      </w:r>
      <w:r w:rsidRPr="00587858" w:rsidR="00080654">
        <w:rPr>
          <w:lang w:val="en"/>
        </w:rPr>
        <w:t xml:space="preserve"> State Emergency Communication Committees (SECCs),</w:t>
      </w:r>
      <w:r w:rsidRPr="00587858" w:rsidR="00080654">
        <w:rPr>
          <w:szCs w:val="22"/>
          <w:lang w:val="en"/>
        </w:rPr>
        <w:t xml:space="preserve"> non-governmental </w:t>
      </w:r>
      <w:r w:rsidRPr="00587858" w:rsidR="00080654">
        <w:rPr>
          <w:lang w:val="en"/>
        </w:rPr>
        <w:t>voluntary groups usually comprised of representatives of broadcasters</w:t>
      </w:r>
      <w:r w:rsidR="00241033">
        <w:rPr>
          <w:lang w:val="en"/>
        </w:rPr>
        <w:t xml:space="preserve"> and </w:t>
      </w:r>
      <w:r w:rsidRPr="00587858" w:rsidR="00080654">
        <w:rPr>
          <w:lang w:val="en"/>
        </w:rPr>
        <w:t>other EAS Participants</w:t>
      </w:r>
      <w:r w:rsidR="00241033">
        <w:rPr>
          <w:lang w:val="en"/>
        </w:rPr>
        <w:t xml:space="preserve"> (such as cable television service providers)</w:t>
      </w:r>
      <w:r w:rsidRPr="00587858" w:rsidR="00080654">
        <w:rPr>
          <w:lang w:val="en"/>
        </w:rPr>
        <w:t xml:space="preserve">, and occasionally, representatives of state and local government.  </w:t>
      </w:r>
      <w:r w:rsidRPr="00241033" w:rsidR="00241033">
        <w:rPr>
          <w:lang w:val="en"/>
        </w:rPr>
        <w:t>SECCs are chaired by an EAS Participant, usually a representative of the state broadcast association.</w:t>
      </w:r>
      <w:r w:rsidR="00241033">
        <w:rPr>
          <w:lang w:val="en"/>
        </w:rPr>
        <w:t xml:space="preserve">  </w:t>
      </w:r>
      <w:r w:rsidR="007657B5">
        <w:rPr>
          <w:lang w:val="en"/>
        </w:rPr>
        <w:t xml:space="preserve">SECCs draft EAS Plans </w:t>
      </w:r>
      <w:r w:rsidR="00E04701">
        <w:rPr>
          <w:lang w:val="en"/>
        </w:rPr>
        <w:t xml:space="preserve">that govern how </w:t>
      </w:r>
      <w:r w:rsidRPr="00D813D5">
        <w:t xml:space="preserve">EAS alerts </w:t>
      </w:r>
      <w:r w:rsidR="00E04701">
        <w:t xml:space="preserve">are </w:t>
      </w:r>
      <w:r w:rsidRPr="00D813D5">
        <w:t>propagate</w:t>
      </w:r>
      <w:r w:rsidR="00E04701">
        <w:t>d</w:t>
      </w:r>
      <w:r w:rsidRPr="00D813D5">
        <w:t xml:space="preserve"> within </w:t>
      </w:r>
      <w:r w:rsidR="00E04701">
        <w:t xml:space="preserve">their respective </w:t>
      </w:r>
      <w:r w:rsidRPr="00D813D5">
        <w:t>state</w:t>
      </w:r>
      <w:r w:rsidR="00E04701">
        <w:t>s</w:t>
      </w:r>
      <w:r w:rsidRPr="00587858">
        <w:rPr>
          <w:lang w:val="en"/>
        </w:rPr>
        <w:t>.</w:t>
      </w:r>
      <w:r>
        <w:rPr>
          <w:vertAlign w:val="superscript"/>
          <w:lang w:val="en"/>
        </w:rPr>
        <w:footnoteReference w:id="27"/>
      </w:r>
      <w:r w:rsidRPr="00587858">
        <w:rPr>
          <w:lang w:val="en"/>
        </w:rPr>
        <w:t xml:space="preserve">  </w:t>
      </w:r>
      <w:r w:rsidRPr="003308D4" w:rsidR="00587858">
        <w:t xml:space="preserve">State EAS Plans </w:t>
      </w:r>
      <w:r w:rsidR="00587858">
        <w:t xml:space="preserve">not only </w:t>
      </w:r>
      <w:r w:rsidR="00AB219C">
        <w:t>set forth</w:t>
      </w:r>
      <w:r w:rsidRPr="003308D4" w:rsidR="00AB219C">
        <w:t xml:space="preserve"> </w:t>
      </w:r>
      <w:r w:rsidRPr="003308D4" w:rsidR="00587858">
        <w:t>the distribution plans for the daisy-chain of broadcast stations that would distribute the Presidential alert and other EAS alerts</w:t>
      </w:r>
      <w:r w:rsidR="00587858">
        <w:t xml:space="preserve">, but also </w:t>
      </w:r>
      <w:r w:rsidRPr="00587858" w:rsidR="00587858">
        <w:t xml:space="preserve">schedule and coordinate the monthly EAS tests </w:t>
      </w:r>
      <w:r w:rsidR="00587858">
        <w:t xml:space="preserve">that EAS Participants are required to conduct.  </w:t>
      </w:r>
      <w:r w:rsidRPr="003308D4">
        <w:t>In most states, the SECC coordinates with the</w:t>
      </w:r>
      <w:r w:rsidR="00261C17">
        <w:t xml:space="preserve"> </w:t>
      </w:r>
      <w:r w:rsidRPr="003308D4">
        <w:t xml:space="preserve">state </w:t>
      </w:r>
      <w:bookmarkStart w:id="80" w:name="_Hlk507340207"/>
      <w:r w:rsidR="00261C17">
        <w:t>em</w:t>
      </w:r>
      <w:r w:rsidRPr="003308D4">
        <w:t xml:space="preserve">ergency </w:t>
      </w:r>
      <w:r w:rsidR="00261C17">
        <w:t>m</w:t>
      </w:r>
      <w:r w:rsidRPr="003308D4">
        <w:t xml:space="preserve">anagement </w:t>
      </w:r>
      <w:r w:rsidR="00261C17">
        <w:t>a</w:t>
      </w:r>
      <w:r w:rsidRPr="003308D4">
        <w:t>genc</w:t>
      </w:r>
      <w:r w:rsidR="00261C17">
        <w:t>ies</w:t>
      </w:r>
      <w:bookmarkEnd w:id="80"/>
      <w:r w:rsidRPr="00241033" w:rsidR="00241033">
        <w:t xml:space="preserve"> </w:t>
      </w:r>
      <w:r w:rsidR="00241033">
        <w:t>that initiate alerts for the state and its communities</w:t>
      </w:r>
      <w:r w:rsidR="00261C17">
        <w:t xml:space="preserve">, </w:t>
      </w:r>
      <w:r w:rsidR="00AB219C">
        <w:t xml:space="preserve">regardless of </w:t>
      </w:r>
      <w:r w:rsidRPr="003308D4">
        <w:t>whether</w:t>
      </w:r>
      <w:r w:rsidR="00E04701">
        <w:t xml:space="preserve"> </w:t>
      </w:r>
      <w:r w:rsidRPr="003308D4">
        <w:t>that agency is a formal member of the SECC</w:t>
      </w:r>
      <w:r w:rsidR="006B4F3E">
        <w:t xml:space="preserve">.  </w:t>
      </w:r>
      <w:r w:rsidR="00261C17">
        <w:t xml:space="preserve">The </w:t>
      </w:r>
      <w:r w:rsidR="00633AED">
        <w:t xml:space="preserve">State </w:t>
      </w:r>
      <w:r w:rsidRPr="00587858">
        <w:rPr>
          <w:lang w:val="en"/>
        </w:rPr>
        <w:t xml:space="preserve">EAS Plans </w:t>
      </w:r>
      <w:r w:rsidR="00261C17">
        <w:rPr>
          <w:lang w:val="en"/>
        </w:rPr>
        <w:t xml:space="preserve">are </w:t>
      </w:r>
      <w:r w:rsidRPr="003308D4" w:rsidR="00261C17">
        <w:t>review</w:t>
      </w:r>
      <w:r w:rsidR="00261C17">
        <w:t xml:space="preserve">ed by the Bureau </w:t>
      </w:r>
      <w:r w:rsidRPr="003308D4" w:rsidR="00261C17">
        <w:t xml:space="preserve">to ensure that they are consistent with the Commission’s rules </w:t>
      </w:r>
      <w:r w:rsidR="00261C17">
        <w:t xml:space="preserve">and must be </w:t>
      </w:r>
      <w:r w:rsidRPr="00587858">
        <w:rPr>
          <w:lang w:val="en"/>
        </w:rPr>
        <w:t xml:space="preserve">approved by the </w:t>
      </w:r>
      <w:r w:rsidR="00261C17">
        <w:rPr>
          <w:lang w:val="en"/>
        </w:rPr>
        <w:t xml:space="preserve">Chief of the </w:t>
      </w:r>
      <w:r w:rsidRPr="00587858">
        <w:rPr>
          <w:lang w:val="en"/>
        </w:rPr>
        <w:t>Bureau.</w:t>
      </w:r>
      <w:r>
        <w:rPr>
          <w:vertAlign w:val="superscript"/>
          <w:lang w:val="en"/>
        </w:rPr>
        <w:footnoteReference w:id="28"/>
      </w:r>
      <w:r w:rsidRPr="00587858">
        <w:rPr>
          <w:lang w:val="en"/>
        </w:rPr>
        <w:t xml:space="preserve"> </w:t>
      </w:r>
    </w:p>
    <w:p w:rsidR="00E9413C" w:rsidRPr="00A45E1A" w:rsidP="00E652A9">
      <w:pPr>
        <w:pStyle w:val="Heading2"/>
      </w:pPr>
      <w:bookmarkStart w:id="81" w:name="_Toc507499225"/>
      <w:bookmarkStart w:id="82" w:name="_Toc511031492"/>
      <w:bookmarkEnd w:id="78"/>
      <w:bookmarkEnd w:id="79"/>
      <w:r w:rsidRPr="00A45E1A">
        <w:t>Wireless Emergency Alerts</w:t>
      </w:r>
      <w:bookmarkEnd w:id="81"/>
      <w:bookmarkEnd w:id="82"/>
    </w:p>
    <w:p w:rsidR="00E9413C" w:rsidP="00484C15">
      <w:pPr>
        <w:pStyle w:val="ParaNum"/>
        <w:widowControl/>
        <w:tabs>
          <w:tab w:val="num" w:pos="1440"/>
        </w:tabs>
        <w:ind w:left="0"/>
      </w:pPr>
      <w:r w:rsidRPr="007B40CC">
        <w:t>WEA allows authorized government agencies to send geographically</w:t>
      </w:r>
      <w:r>
        <w:t xml:space="preserve"> </w:t>
      </w:r>
      <w:r w:rsidRPr="007B40CC">
        <w:t xml:space="preserve">targeted emergency alerts to </w:t>
      </w:r>
      <w:r>
        <w:t xml:space="preserve">the wireless devices of those consumers whose wireless providers have elected to participate in WEA.  Wireless providers that elect to participate in WEA (referred to as Participating Commercial Mobile Service (CMS) Providers) </w:t>
      </w:r>
      <w:r w:rsidRPr="007B40CC">
        <w:t>transmit thes</w:t>
      </w:r>
      <w:r>
        <w:t>e alerts over their cell towers to mobile devices</w:t>
      </w:r>
      <w:r w:rsidRPr="007B40CC">
        <w:t xml:space="preserve"> within the </w:t>
      </w:r>
      <w:r w:rsidR="0001417B">
        <w:t>service</w:t>
      </w:r>
      <w:r w:rsidRPr="007B40CC" w:rsidR="0001417B">
        <w:t xml:space="preserve"> </w:t>
      </w:r>
      <w:r w:rsidRPr="007B40CC">
        <w:t xml:space="preserve">area.  </w:t>
      </w:r>
      <w:r w:rsidR="00C96DFE">
        <w:t>Under federal statute, p</w:t>
      </w:r>
      <w:r>
        <w:t>articipation in WEA is voluntary;</w:t>
      </w:r>
      <w:r>
        <w:rPr>
          <w:rStyle w:val="FootnoteReference"/>
        </w:rPr>
        <w:footnoteReference w:id="29"/>
      </w:r>
      <w:r>
        <w:t xml:space="preserve"> to the extent a wireless provider chooses to participate in WEA, however, it must do so in compliance with the Commission’s rules.</w:t>
      </w:r>
      <w:bookmarkStart w:id="83" w:name="_Ref506561397"/>
      <w:r>
        <w:rPr>
          <w:vertAlign w:val="superscript"/>
        </w:rPr>
        <w:footnoteReference w:id="30"/>
      </w:r>
      <w:bookmarkEnd w:id="83"/>
      <w:r>
        <w:t xml:space="preserve">  Further, </w:t>
      </w:r>
      <w:r w:rsidR="00CD08F6">
        <w:t>these wireless p</w:t>
      </w:r>
      <w:r>
        <w:t>roviders may elect to participate in WEA “in whole” or “in part.”</w:t>
      </w:r>
      <w:r>
        <w:rPr>
          <w:rStyle w:val="FootnoteReference"/>
        </w:rPr>
        <w:footnoteReference w:id="31"/>
      </w:r>
      <w:r>
        <w:t xml:space="preserve">  </w:t>
      </w:r>
      <w:r w:rsidR="00CD08F6">
        <w:t>Wireless p</w:t>
      </w:r>
      <w:r>
        <w:t>roviders</w:t>
      </w:r>
      <w:r w:rsidRPr="001038FF">
        <w:rPr>
          <w:szCs w:val="22"/>
        </w:rPr>
        <w:t xml:space="preserve"> </w:t>
      </w:r>
      <w:r w:rsidR="00CD08F6">
        <w:rPr>
          <w:szCs w:val="22"/>
        </w:rPr>
        <w:t xml:space="preserve">that </w:t>
      </w:r>
      <w:r w:rsidRPr="001038FF">
        <w:rPr>
          <w:szCs w:val="22"/>
        </w:rPr>
        <w:t xml:space="preserve">elect to transmit alerts </w:t>
      </w:r>
      <w:r>
        <w:t xml:space="preserve">“in part” must notify their subscribers at the point of sale that they offer WEA in some, but not all, of their geographic service area and that </w:t>
      </w:r>
      <w:r w:rsidR="005B724D">
        <w:t xml:space="preserve">many, but </w:t>
      </w:r>
      <w:r>
        <w:t>not all</w:t>
      </w:r>
      <w:r w:rsidR="007E36FB">
        <w:t>,</w:t>
      </w:r>
      <w:r>
        <w:t xml:space="preserve"> </w:t>
      </w:r>
      <w:r w:rsidR="005B724D">
        <w:t xml:space="preserve">the </w:t>
      </w:r>
      <w:r>
        <w:t>mobile devices they offer are WEA capable.</w:t>
      </w:r>
      <w:r>
        <w:rPr>
          <w:vertAlign w:val="superscript"/>
        </w:rPr>
        <w:footnoteReference w:id="32"/>
      </w:r>
      <w:r>
        <w:t xml:space="preserve">  </w:t>
      </w:r>
      <w:r w:rsidR="005B724D">
        <w:t>The customers of wireless p</w:t>
      </w:r>
      <w:r>
        <w:t>roviders</w:t>
      </w:r>
      <w:r w:rsidR="005B724D">
        <w:t xml:space="preserve"> that p</w:t>
      </w:r>
      <w:r w:rsidR="00166C98">
        <w:t xml:space="preserve">articipate in </w:t>
      </w:r>
      <w:r w:rsidR="005B724D">
        <w:t xml:space="preserve">WEA </w:t>
      </w:r>
      <w:r>
        <w:t xml:space="preserve">have the right to opt out of receiving </w:t>
      </w:r>
      <w:r w:rsidR="005B724D">
        <w:t>all WEA m</w:t>
      </w:r>
      <w:r>
        <w:t>essages other than Presidential Alert</w:t>
      </w:r>
      <w:r w:rsidR="005F79BF">
        <w:t>s</w:t>
      </w:r>
      <w:r>
        <w:t>.</w:t>
      </w:r>
      <w:r>
        <w:rPr>
          <w:vertAlign w:val="superscript"/>
        </w:rPr>
        <w:footnoteReference w:id="33"/>
      </w:r>
      <w:r>
        <w:t xml:space="preserve">  </w:t>
      </w:r>
    </w:p>
    <w:p w:rsidR="00E9413C" w:rsidRPr="00A45E1A" w:rsidP="00E652A9">
      <w:pPr>
        <w:pStyle w:val="Heading2"/>
      </w:pPr>
      <w:bookmarkStart w:id="84" w:name="_Toc507499226"/>
      <w:bookmarkStart w:id="85" w:name="_Toc511031493"/>
      <w:r>
        <w:t>Testing of the National Emergency Alert and Warning Systems</w:t>
      </w:r>
      <w:bookmarkEnd w:id="84"/>
      <w:bookmarkEnd w:id="85"/>
    </w:p>
    <w:p w:rsidR="00E9413C" w:rsidRPr="001038FF" w:rsidP="00E9413C">
      <w:pPr>
        <w:pStyle w:val="ParaNum"/>
        <w:tabs>
          <w:tab w:val="num" w:pos="1440"/>
        </w:tabs>
        <w:ind w:left="0"/>
        <w:rPr>
          <w:snapToGrid/>
        </w:rPr>
      </w:pPr>
      <w:r>
        <w:t xml:space="preserve">The Commission requires EAS Participants and </w:t>
      </w:r>
      <w:r w:rsidR="00DF5BEB">
        <w:t>wireless p</w:t>
      </w:r>
      <w:r>
        <w:t xml:space="preserve">roviders </w:t>
      </w:r>
      <w:r w:rsidR="00DF5BEB">
        <w:t xml:space="preserve">that elect to provide WEA </w:t>
      </w:r>
      <w:r>
        <w:t xml:space="preserve">to test their alerting capabilities.  </w:t>
      </w:r>
      <w:r w:rsidR="00301CC6">
        <w:t>Pursuant to its rules, t</w:t>
      </w:r>
      <w:r w:rsidR="00A0166C">
        <w:t xml:space="preserve">he Commission authorizes communications service providers to </w:t>
      </w:r>
      <w:r w:rsidR="00301CC6">
        <w:t xml:space="preserve">conduct </w:t>
      </w:r>
      <w:r w:rsidR="00ED7E97">
        <w:t>tests of the EAS and WEA systems</w:t>
      </w:r>
      <w:r w:rsidR="00301CC6">
        <w:t>.</w:t>
      </w:r>
      <w:r w:rsidR="00ED7E97">
        <w:t xml:space="preserve"> </w:t>
      </w:r>
      <w:r w:rsidR="00301CC6">
        <w:t xml:space="preserve"> The rules </w:t>
      </w:r>
      <w:r w:rsidR="00ED7E97">
        <w:t xml:space="preserve">are intended to </w:t>
      </w:r>
      <w:r>
        <w:t xml:space="preserve">enhance the overall effectiveness of the </w:t>
      </w:r>
      <w:r w:rsidR="00ED7E97">
        <w:t>systems</w:t>
      </w:r>
      <w:r>
        <w:t>’ operations</w:t>
      </w:r>
      <w:r w:rsidR="00301CC6">
        <w:t xml:space="preserve"> </w:t>
      </w:r>
      <w:r>
        <w:t xml:space="preserve">in </w:t>
      </w:r>
      <w:r w:rsidR="00301CC6">
        <w:t xml:space="preserve">either </w:t>
      </w:r>
      <w:r>
        <w:t xml:space="preserve">a test environment or </w:t>
      </w:r>
      <w:r w:rsidR="00ED7E97">
        <w:t xml:space="preserve">a </w:t>
      </w:r>
      <w:r w:rsidRPr="006C11DB" w:rsidR="00ED7E97">
        <w:rPr>
          <w:i/>
        </w:rPr>
        <w:t>bona fide</w:t>
      </w:r>
      <w:r w:rsidR="00ED7E97">
        <w:t xml:space="preserve"> emergency.  </w:t>
      </w:r>
      <w:r>
        <w:t>Specifically, t</w:t>
      </w:r>
      <w:r>
        <w:t>he Commission requires EAS Participants to support national tests as scheduled by the Commission in consultation with FEMA, as well as monthly and weekly tests as set forth in their respective State EAS Plans.</w:t>
      </w:r>
      <w:r>
        <w:rPr>
          <w:rStyle w:val="FootnoteReference"/>
        </w:rPr>
        <w:footnoteReference w:id="34"/>
      </w:r>
      <w:r>
        <w:t xml:space="preserve">  </w:t>
      </w:r>
      <w:r>
        <w:t>For WEA, t</w:t>
      </w:r>
      <w:r w:rsidRPr="000F37B4">
        <w:t xml:space="preserve">he Commission requires </w:t>
      </w:r>
      <w:r w:rsidR="00DF5BEB">
        <w:t xml:space="preserve">wireless providers that elect to provide WEA </w:t>
      </w:r>
      <w:r w:rsidRPr="000F37B4">
        <w:t>to</w:t>
      </w:r>
      <w:r w:rsidR="00DF5BEB">
        <w:t xml:space="preserve"> participate in </w:t>
      </w:r>
      <w:r w:rsidRPr="000F37B4">
        <w:t>monthly tests of their alert transmission capability and periodic t</w:t>
      </w:r>
      <w:r>
        <w:t xml:space="preserve">ests of their connection to FEMA’s </w:t>
      </w:r>
      <w:r w:rsidRPr="000F37B4">
        <w:t>IPAWS.</w:t>
      </w:r>
      <w:r>
        <w:rPr>
          <w:rStyle w:val="FootnoteReference"/>
        </w:rPr>
        <w:footnoteReference w:id="35"/>
      </w:r>
      <w:r w:rsidRPr="000F37B4">
        <w:t xml:space="preserve">  </w:t>
      </w:r>
      <w:r>
        <w:t xml:space="preserve">In addition, effective May 2019, the Commission will require </w:t>
      </w:r>
      <w:r w:rsidR="00DF5BEB">
        <w:t xml:space="preserve">these wireless providers </w:t>
      </w:r>
      <w:r>
        <w:t>to support end-to-end WEA tests initiated by federal, state</w:t>
      </w:r>
      <w:r w:rsidR="00EF1594">
        <w:t>,</w:t>
      </w:r>
      <w:r>
        <w:t xml:space="preserve"> and local emergency managers</w:t>
      </w:r>
      <w:r w:rsidR="00DF5BEB">
        <w:t xml:space="preserve"> and capable of being received by members of the public</w:t>
      </w:r>
      <w:r>
        <w:t>.</w:t>
      </w:r>
      <w:r>
        <w:rPr>
          <w:rStyle w:val="FootnoteReference"/>
        </w:rPr>
        <w:footnoteReference w:id="36"/>
      </w:r>
      <w:r>
        <w:t xml:space="preserve">  </w:t>
      </w:r>
      <w:r w:rsidRPr="000B4ABB">
        <w:rPr>
          <w:szCs w:val="22"/>
        </w:rPr>
        <w:t>End-to-end</w:t>
      </w:r>
      <w:r>
        <w:t xml:space="preserve"> WEA testing will help</w:t>
      </w:r>
      <w:r w:rsidRPr="000B4ABB">
        <w:rPr>
          <w:szCs w:val="22"/>
        </w:rPr>
        <w:t xml:space="preserve"> </w:t>
      </w:r>
      <w:r w:rsidR="009B0263">
        <w:rPr>
          <w:szCs w:val="22"/>
        </w:rPr>
        <w:t xml:space="preserve">to </w:t>
      </w:r>
      <w:r w:rsidRPr="000B4ABB">
        <w:rPr>
          <w:snapToGrid/>
          <w:kern w:val="0"/>
          <w:szCs w:val="22"/>
        </w:rPr>
        <w:t>ensure that emergency managers have the opportunity to test in an environment that mirrors actual alert conditions and evaluate, for example, the</w:t>
      </w:r>
      <w:r w:rsidRPr="000B4ABB">
        <w:rPr>
          <w:szCs w:val="22"/>
        </w:rPr>
        <w:t xml:space="preserve"> </w:t>
      </w:r>
      <w:r w:rsidRPr="000B4ABB">
        <w:rPr>
          <w:snapToGrid/>
          <w:kern w:val="0"/>
          <w:szCs w:val="22"/>
        </w:rPr>
        <w:t xml:space="preserve">accuracy with which </w:t>
      </w:r>
      <w:r w:rsidR="009B0263">
        <w:rPr>
          <w:snapToGrid/>
          <w:kern w:val="0"/>
          <w:szCs w:val="22"/>
        </w:rPr>
        <w:t xml:space="preserve">wireless providers can </w:t>
      </w:r>
      <w:r w:rsidRPr="000B4ABB">
        <w:rPr>
          <w:snapToGrid/>
          <w:kern w:val="0"/>
          <w:szCs w:val="22"/>
        </w:rPr>
        <w:t xml:space="preserve">target </w:t>
      </w:r>
      <w:r w:rsidR="009B0263">
        <w:rPr>
          <w:snapToGrid/>
          <w:kern w:val="0"/>
          <w:szCs w:val="22"/>
        </w:rPr>
        <w:t>WEA m</w:t>
      </w:r>
      <w:r w:rsidRPr="000B4ABB">
        <w:rPr>
          <w:snapToGrid/>
          <w:kern w:val="0"/>
          <w:szCs w:val="22"/>
        </w:rPr>
        <w:t xml:space="preserve">essages </w:t>
      </w:r>
      <w:r w:rsidR="009B0263">
        <w:rPr>
          <w:snapToGrid/>
          <w:kern w:val="0"/>
          <w:szCs w:val="22"/>
        </w:rPr>
        <w:t xml:space="preserve">to the areas </w:t>
      </w:r>
      <w:r w:rsidRPr="000B4ABB">
        <w:rPr>
          <w:snapToGrid/>
          <w:kern w:val="0"/>
          <w:szCs w:val="22"/>
        </w:rPr>
        <w:t>in their communit</w:t>
      </w:r>
      <w:r w:rsidR="009B0263">
        <w:rPr>
          <w:snapToGrid/>
          <w:kern w:val="0"/>
          <w:szCs w:val="22"/>
        </w:rPr>
        <w:t>ies actually affected by an emergenc</w:t>
      </w:r>
      <w:r w:rsidRPr="000B4ABB">
        <w:rPr>
          <w:snapToGrid/>
          <w:kern w:val="0"/>
          <w:szCs w:val="22"/>
        </w:rPr>
        <w:t>y.</w:t>
      </w:r>
      <w:r>
        <w:rPr>
          <w:rStyle w:val="FootnoteReference"/>
          <w:kern w:val="0"/>
          <w:szCs w:val="22"/>
        </w:rPr>
        <w:footnoteReference w:id="37"/>
      </w:r>
      <w:r w:rsidRPr="000B4ABB">
        <w:rPr>
          <w:snapToGrid/>
          <w:kern w:val="0"/>
          <w:szCs w:val="22"/>
        </w:rPr>
        <w:t xml:space="preserve"> </w:t>
      </w:r>
      <w:r w:rsidRPr="000B4ABB">
        <w:rPr>
          <w:szCs w:val="22"/>
        </w:rPr>
        <w:t xml:space="preserve"> To safeguard against confusing the public, the Commission </w:t>
      </w:r>
      <w:r w:rsidR="009B0263">
        <w:rPr>
          <w:szCs w:val="22"/>
        </w:rPr>
        <w:t xml:space="preserve">also </w:t>
      </w:r>
      <w:r w:rsidRPr="000B4ABB">
        <w:rPr>
          <w:szCs w:val="22"/>
        </w:rPr>
        <w:t xml:space="preserve">requires both EAS and WEA test messages that are distributed to the public </w:t>
      </w:r>
      <w:r w:rsidR="006A3647">
        <w:rPr>
          <w:szCs w:val="22"/>
        </w:rPr>
        <w:t xml:space="preserve">to </w:t>
      </w:r>
      <w:r w:rsidRPr="000B4ABB">
        <w:rPr>
          <w:szCs w:val="22"/>
        </w:rPr>
        <w:t>include conspicuous language sufficient to make clear to the public that the message is, in fact, only a test.</w:t>
      </w:r>
      <w:r>
        <w:rPr>
          <w:rStyle w:val="FootnoteReference"/>
          <w:szCs w:val="22"/>
        </w:rPr>
        <w:footnoteReference w:id="38"/>
      </w:r>
      <w:r w:rsidRPr="000B4ABB">
        <w:rPr>
          <w:szCs w:val="22"/>
        </w:rPr>
        <w:t xml:space="preserve">  </w:t>
      </w:r>
    </w:p>
    <w:p w:rsidR="00E9413C" w:rsidRPr="002A1AE1" w:rsidP="002A1AE1">
      <w:pPr>
        <w:pStyle w:val="ParaNum"/>
        <w:tabs>
          <w:tab w:val="num" w:pos="1440"/>
        </w:tabs>
        <w:ind w:left="0"/>
        <w:rPr>
          <w:snapToGrid/>
        </w:rPr>
      </w:pPr>
      <w:r w:rsidRPr="002A1AE1">
        <w:rPr>
          <w:snapToGrid/>
          <w:kern w:val="0"/>
          <w:szCs w:val="22"/>
        </w:rPr>
        <w:t>In addition to full end-to-end testing of the WEA alert system, the Commission has enco</w:t>
      </w:r>
      <w:r w:rsidRPr="003B7ED3">
        <w:rPr>
          <w:snapToGrid/>
          <w:kern w:val="0"/>
          <w:szCs w:val="22"/>
        </w:rPr>
        <w:t xml:space="preserve">uraged proficiency training for </w:t>
      </w:r>
      <w:r w:rsidR="00117E36">
        <w:rPr>
          <w:snapToGrid/>
          <w:kern w:val="0"/>
          <w:szCs w:val="22"/>
        </w:rPr>
        <w:t xml:space="preserve">state and local emergency managers and other entities that are authorized by FEMA to be </w:t>
      </w:r>
      <w:r w:rsidRPr="003B7ED3">
        <w:rPr>
          <w:snapToGrid/>
          <w:kern w:val="0"/>
          <w:szCs w:val="22"/>
        </w:rPr>
        <w:t>alert originators</w:t>
      </w:r>
      <w:r w:rsidR="00117E36">
        <w:rPr>
          <w:snapToGrid/>
          <w:kern w:val="0"/>
          <w:szCs w:val="22"/>
        </w:rPr>
        <w:t xml:space="preserve"> in IPAWS</w:t>
      </w:r>
      <w:r w:rsidRPr="003B7ED3">
        <w:rPr>
          <w:snapToGrid/>
          <w:kern w:val="0"/>
          <w:szCs w:val="22"/>
        </w:rPr>
        <w:t>.</w:t>
      </w:r>
      <w:r>
        <w:rPr>
          <w:rStyle w:val="FootnoteReference"/>
          <w:snapToGrid/>
          <w:kern w:val="0"/>
          <w:szCs w:val="22"/>
        </w:rPr>
        <w:footnoteReference w:id="39"/>
      </w:r>
      <w:r w:rsidRPr="003B7ED3">
        <w:rPr>
          <w:snapToGrid/>
          <w:kern w:val="0"/>
          <w:szCs w:val="22"/>
        </w:rPr>
        <w:t xml:space="preserve">  The Commission has found that </w:t>
      </w:r>
      <w:r w:rsidRPr="006C1E2C">
        <w:rPr>
          <w:snapToGrid/>
          <w:kern w:val="0"/>
          <w:szCs w:val="22"/>
        </w:rPr>
        <w:t xml:space="preserve">proficiency training is essential </w:t>
      </w:r>
      <w:r w:rsidR="00E31EA4">
        <w:rPr>
          <w:snapToGrid/>
          <w:kern w:val="0"/>
          <w:szCs w:val="22"/>
        </w:rPr>
        <w:t xml:space="preserve">for </w:t>
      </w:r>
      <w:r w:rsidR="00117E36">
        <w:rPr>
          <w:snapToGrid/>
          <w:kern w:val="0"/>
          <w:szCs w:val="22"/>
        </w:rPr>
        <w:t xml:space="preserve">such </w:t>
      </w:r>
      <w:r w:rsidR="00E31EA4">
        <w:rPr>
          <w:snapToGrid/>
          <w:kern w:val="0"/>
          <w:szCs w:val="22"/>
        </w:rPr>
        <w:t xml:space="preserve">alert initiators to gain the </w:t>
      </w:r>
      <w:r w:rsidRPr="00420998">
        <w:rPr>
          <w:snapToGrid/>
          <w:kern w:val="0"/>
          <w:szCs w:val="22"/>
        </w:rPr>
        <w:t xml:space="preserve">competency to issue effective WEA </w:t>
      </w:r>
      <w:r w:rsidR="00C32DC4">
        <w:rPr>
          <w:snapToGrid/>
          <w:kern w:val="0"/>
          <w:szCs w:val="22"/>
        </w:rPr>
        <w:t>a</w:t>
      </w:r>
      <w:r w:rsidRPr="00420998">
        <w:rPr>
          <w:snapToGrid/>
          <w:kern w:val="0"/>
          <w:szCs w:val="22"/>
        </w:rPr>
        <w:t>lert</w:t>
      </w:r>
      <w:r w:rsidR="007E45FA">
        <w:rPr>
          <w:snapToGrid/>
          <w:kern w:val="0"/>
          <w:szCs w:val="22"/>
        </w:rPr>
        <w:t>s</w:t>
      </w:r>
      <w:r w:rsidR="00C32DC4">
        <w:rPr>
          <w:snapToGrid/>
          <w:kern w:val="0"/>
          <w:szCs w:val="22"/>
        </w:rPr>
        <w:t>.</w:t>
      </w:r>
      <w:r>
        <w:rPr>
          <w:rStyle w:val="FootnoteReference"/>
          <w:kern w:val="0"/>
          <w:szCs w:val="22"/>
        </w:rPr>
        <w:footnoteReference w:id="40"/>
      </w:r>
      <w:r w:rsidRPr="002A1AE1">
        <w:rPr>
          <w:snapToGrid/>
          <w:kern w:val="0"/>
          <w:szCs w:val="22"/>
        </w:rPr>
        <w:t xml:space="preserve">  </w:t>
      </w:r>
      <w:r w:rsidR="00E31EA4">
        <w:rPr>
          <w:snapToGrid/>
          <w:kern w:val="0"/>
          <w:szCs w:val="22"/>
        </w:rPr>
        <w:t>For internal tests where the alert is not de</w:t>
      </w:r>
      <w:r w:rsidR="00B352AE">
        <w:rPr>
          <w:snapToGrid/>
          <w:kern w:val="0"/>
          <w:szCs w:val="22"/>
        </w:rPr>
        <w:t>s</w:t>
      </w:r>
      <w:r w:rsidR="00E31EA4">
        <w:rPr>
          <w:snapToGrid/>
          <w:kern w:val="0"/>
          <w:szCs w:val="22"/>
        </w:rPr>
        <w:t>igned to reach the public, t</w:t>
      </w:r>
      <w:r w:rsidRPr="002A1AE1">
        <w:rPr>
          <w:snapToGrid/>
          <w:kern w:val="0"/>
          <w:szCs w:val="22"/>
        </w:rPr>
        <w:t xml:space="preserve">he Commission </w:t>
      </w:r>
      <w:r w:rsidR="00E31EA4">
        <w:rPr>
          <w:snapToGrid/>
          <w:kern w:val="0"/>
          <w:szCs w:val="22"/>
        </w:rPr>
        <w:t xml:space="preserve">has </w:t>
      </w:r>
      <w:r w:rsidRPr="002A1AE1">
        <w:rPr>
          <w:snapToGrid/>
          <w:kern w:val="0"/>
          <w:szCs w:val="22"/>
        </w:rPr>
        <w:t>observed that</w:t>
      </w:r>
      <w:r w:rsidRPr="002A1AE1">
        <w:rPr>
          <w:snapToGrid/>
        </w:rPr>
        <w:t xml:space="preserve"> “alert origination software can be used to support internal proficiency training exercises where emergency managers wish to iterate alert origination best practices in a closed environment.”</w:t>
      </w:r>
      <w:bookmarkStart w:id="86" w:name="_Ref509824984"/>
      <w:r>
        <w:rPr>
          <w:rStyle w:val="FootnoteReference"/>
          <w:kern w:val="0"/>
          <w:szCs w:val="22"/>
        </w:rPr>
        <w:footnoteReference w:id="41"/>
      </w:r>
      <w:bookmarkEnd w:id="86"/>
      <w:r w:rsidRPr="002A1AE1" w:rsidR="00481BE2">
        <w:rPr>
          <w:snapToGrid/>
        </w:rPr>
        <w:t xml:space="preserve">  </w:t>
      </w:r>
      <w:r w:rsidR="00B45239">
        <w:t xml:space="preserve">Similarly for </w:t>
      </w:r>
      <w:r>
        <w:t>EAS</w:t>
      </w:r>
      <w:r w:rsidR="00481BE2">
        <w:t xml:space="preserve">, the </w:t>
      </w:r>
      <w:r w:rsidR="00B45239">
        <w:t xml:space="preserve">Bureau </w:t>
      </w:r>
      <w:r w:rsidR="00481BE2">
        <w:t>grant</w:t>
      </w:r>
      <w:r w:rsidR="00724D9F">
        <w:t xml:space="preserve">s </w:t>
      </w:r>
      <w:r w:rsidR="00481BE2">
        <w:t xml:space="preserve">waivers that </w:t>
      </w:r>
      <w:r w:rsidR="00B45239">
        <w:t xml:space="preserve">allow EAS alert initiators and </w:t>
      </w:r>
      <w:r w:rsidRPr="003B1F31">
        <w:t xml:space="preserve">EAS Participants </w:t>
      </w:r>
      <w:r w:rsidR="00B45239">
        <w:t xml:space="preserve">to conduct </w:t>
      </w:r>
      <w:r w:rsidR="00B641EF">
        <w:t xml:space="preserve">tests that </w:t>
      </w:r>
      <w:r w:rsidR="00054E59">
        <w:t>use the same codes as those used in an actual alert (</w:t>
      </w:r>
      <w:r w:rsidRPr="000A0D13" w:rsidR="00054E59">
        <w:rPr>
          <w:i/>
        </w:rPr>
        <w:t>e.g.</w:t>
      </w:r>
      <w:r w:rsidR="00054E59">
        <w:t xml:space="preserve">, </w:t>
      </w:r>
      <w:r w:rsidR="00B23BAB">
        <w:t xml:space="preserve">the “TOR” code for </w:t>
      </w:r>
      <w:r w:rsidR="00054E59">
        <w:t>a tornado)</w:t>
      </w:r>
      <w:r w:rsidR="00724D9F">
        <w:t>.  Alert initiators and other test organizers must conduct significant public outreach and close coordination with EAS Participants in order to be allowed to conduct these “live code” tests,</w:t>
      </w:r>
      <w:r>
        <w:rPr>
          <w:rStyle w:val="FootnoteReference"/>
        </w:rPr>
        <w:footnoteReference w:id="42"/>
      </w:r>
      <w:r w:rsidR="00724D9F">
        <w:t xml:space="preserve"> </w:t>
      </w:r>
      <w:r w:rsidR="00615FD1">
        <w:t xml:space="preserve">with </w:t>
      </w:r>
      <w:r w:rsidR="00724D9F">
        <w:t>the result that the public has a</w:t>
      </w:r>
      <w:r w:rsidR="00D13721">
        <w:t xml:space="preserve"> </w:t>
      </w:r>
      <w:r w:rsidR="00724D9F">
        <w:t xml:space="preserve">better idea how to behave during an emergency, and alert initiators become more proficient in </w:t>
      </w:r>
      <w:r w:rsidR="004A46E2">
        <w:t>their use of</w:t>
      </w:r>
      <w:r w:rsidR="00724D9F">
        <w:t xml:space="preserve"> alerting tools.</w:t>
      </w:r>
      <w:r>
        <w:t xml:space="preserve">  </w:t>
      </w:r>
    </w:p>
    <w:p w:rsidR="00E9413C" w:rsidP="00E9413C">
      <w:pPr>
        <w:pStyle w:val="Heading1"/>
        <w:rPr>
          <w:rFonts w:ascii="Times New Roman" w:hAnsi="Times New Roman"/>
          <w:szCs w:val="22"/>
        </w:rPr>
      </w:pPr>
      <w:bookmarkStart w:id="87" w:name="_Toc504583130"/>
      <w:bookmarkStart w:id="88" w:name="_Toc504589350"/>
      <w:bookmarkStart w:id="89" w:name="_Toc504643919"/>
      <w:bookmarkStart w:id="90" w:name="_Toc504673424"/>
      <w:bookmarkStart w:id="91" w:name="_Toc504733595"/>
      <w:bookmarkStart w:id="92" w:name="_Toc505854712"/>
      <w:bookmarkStart w:id="93" w:name="_Toc507499227"/>
      <w:bookmarkStart w:id="94" w:name="_Toc511031494"/>
      <w:r w:rsidRPr="00100E73">
        <w:rPr>
          <w:rFonts w:ascii="Times New Roman" w:hAnsi="Times New Roman"/>
          <w:szCs w:val="22"/>
        </w:rPr>
        <w:t>FACTUAL FINDINGS</w:t>
      </w:r>
      <w:bookmarkEnd w:id="87"/>
      <w:bookmarkEnd w:id="88"/>
      <w:bookmarkEnd w:id="89"/>
      <w:bookmarkEnd w:id="90"/>
      <w:bookmarkEnd w:id="91"/>
      <w:bookmarkEnd w:id="92"/>
      <w:bookmarkEnd w:id="93"/>
      <w:bookmarkEnd w:id="94"/>
      <w:r w:rsidRPr="00100E73">
        <w:rPr>
          <w:rFonts w:ascii="Times New Roman" w:hAnsi="Times New Roman"/>
          <w:szCs w:val="22"/>
        </w:rPr>
        <w:t xml:space="preserve">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40CFA" w:rsidRPr="00B40CFA" w:rsidP="00E652A9">
      <w:pPr>
        <w:pStyle w:val="Heading2"/>
      </w:pPr>
      <w:bookmarkStart w:id="95" w:name="_Toc511031495"/>
      <w:r>
        <w:t xml:space="preserve">Issuance of the </w:t>
      </w:r>
      <w:r>
        <w:t>False Ballistic Missile Alert</w:t>
      </w:r>
      <w:bookmarkEnd w:id="95"/>
    </w:p>
    <w:p w:rsidR="00BF4D9A" w:rsidRPr="005B6825" w:rsidP="005B6825">
      <w:pPr>
        <w:pStyle w:val="Heading3"/>
        <w:rPr>
          <w:snapToGrid/>
        </w:rPr>
      </w:pPr>
      <w:bookmarkStart w:id="96" w:name="_Toc507499228"/>
      <w:bookmarkStart w:id="97" w:name="_Toc511031496"/>
      <w:r>
        <w:t>Hawaii Emergency Management Agency’s Alerting Role</w:t>
      </w:r>
      <w:r w:rsidRPr="00F02F35">
        <w:t>.</w:t>
      </w:r>
      <w:bookmarkEnd w:id="96"/>
      <w:bookmarkEnd w:id="97"/>
      <w:r w:rsidRPr="00F02F35">
        <w:t xml:space="preserve">  </w:t>
      </w:r>
    </w:p>
    <w:p w:rsidR="00E9413C" w:rsidRPr="005F1DA3" w:rsidP="00E9413C">
      <w:pPr>
        <w:pStyle w:val="ParaNum"/>
        <w:tabs>
          <w:tab w:val="left" w:pos="720"/>
        </w:tabs>
        <w:ind w:left="0"/>
        <w:rPr>
          <w:b/>
          <w:snapToGrid/>
        </w:rPr>
      </w:pPr>
      <w:r w:rsidRPr="00B37CA2">
        <w:rPr>
          <w:rStyle w:val="s1"/>
          <w:szCs w:val="22"/>
          <w:lang w:val="en"/>
        </w:rPr>
        <w:t xml:space="preserve">In Hawaii, HI-EMA (1) </w:t>
      </w:r>
      <w:r w:rsidRPr="00B37CA2">
        <w:rPr>
          <w:szCs w:val="22"/>
        </w:rPr>
        <w:t>oversees and coordinates the statewide outdoor siren warning system; (2) monitors and issues alerts and warnings; and (3) coordinates emergency and disaster response and recovery activities.</w:t>
      </w:r>
      <w:r>
        <w:rPr>
          <w:rStyle w:val="FootnoteReference"/>
          <w:szCs w:val="22"/>
        </w:rPr>
        <w:footnoteReference w:id="43"/>
      </w:r>
      <w:r w:rsidRPr="00B37CA2">
        <w:rPr>
          <w:rStyle w:val="s1"/>
          <w:szCs w:val="22"/>
          <w:lang w:val="en"/>
        </w:rPr>
        <w:t xml:space="preserve">  According to FEMA, as of February 2, 2018, HI-EMA represents the only organization in Hawaii </w:t>
      </w:r>
      <w:r>
        <w:rPr>
          <w:rStyle w:val="s1"/>
          <w:szCs w:val="22"/>
          <w:lang w:val="en"/>
        </w:rPr>
        <w:t xml:space="preserve">that has completed the certification process to </w:t>
      </w:r>
      <w:r w:rsidR="00C43E9C">
        <w:rPr>
          <w:rStyle w:val="s1"/>
          <w:szCs w:val="22"/>
          <w:lang w:val="en"/>
        </w:rPr>
        <w:t xml:space="preserve">allow it to initiate </w:t>
      </w:r>
      <w:r>
        <w:rPr>
          <w:rStyle w:val="s1"/>
          <w:szCs w:val="22"/>
          <w:lang w:val="en"/>
        </w:rPr>
        <w:t>alert</w:t>
      </w:r>
      <w:r w:rsidR="00C43E9C">
        <w:rPr>
          <w:rStyle w:val="s1"/>
          <w:szCs w:val="22"/>
          <w:lang w:val="en"/>
        </w:rPr>
        <w:t xml:space="preserve">s over </w:t>
      </w:r>
      <w:r>
        <w:rPr>
          <w:rStyle w:val="s1"/>
          <w:szCs w:val="22"/>
          <w:lang w:val="en"/>
        </w:rPr>
        <w:t>IPAWS</w:t>
      </w:r>
      <w:r w:rsidRPr="00B37CA2">
        <w:rPr>
          <w:rStyle w:val="s1"/>
          <w:szCs w:val="22"/>
          <w:lang w:val="en"/>
        </w:rPr>
        <w:t>.</w:t>
      </w:r>
      <w:r>
        <w:rPr>
          <w:rStyle w:val="FootnoteReference"/>
          <w:szCs w:val="22"/>
          <w:lang w:val="en"/>
        </w:rPr>
        <w:footnoteReference w:id="44"/>
      </w:r>
      <w:r w:rsidRPr="00B37CA2">
        <w:rPr>
          <w:rStyle w:val="s1"/>
          <w:szCs w:val="22"/>
          <w:lang w:val="en"/>
        </w:rPr>
        <w:t xml:space="preserve"> </w:t>
      </w:r>
      <w:r w:rsidRPr="00B37CA2">
        <w:rPr>
          <w:szCs w:val="22"/>
        </w:rPr>
        <w:t xml:space="preserve"> HI-EMA </w:t>
      </w:r>
      <w:r w:rsidR="00DE2CDE">
        <w:rPr>
          <w:szCs w:val="22"/>
        </w:rPr>
        <w:t xml:space="preserve">also </w:t>
      </w:r>
      <w:r w:rsidRPr="00B37CA2">
        <w:rPr>
          <w:szCs w:val="22"/>
        </w:rPr>
        <w:t xml:space="preserve">operates a </w:t>
      </w:r>
      <w:r w:rsidR="00DE2CDE">
        <w:rPr>
          <w:szCs w:val="22"/>
        </w:rPr>
        <w:t xml:space="preserve">state-based </w:t>
      </w:r>
      <w:r w:rsidRPr="00B37CA2">
        <w:rPr>
          <w:szCs w:val="22"/>
        </w:rPr>
        <w:t xml:space="preserve">communications warning center known </w:t>
      </w:r>
      <w:r>
        <w:rPr>
          <w:szCs w:val="22"/>
        </w:rPr>
        <w:t xml:space="preserve">as the </w:t>
      </w:r>
      <w:bookmarkStart w:id="98" w:name="_Hlk507343046"/>
      <w:r>
        <w:rPr>
          <w:szCs w:val="22"/>
        </w:rPr>
        <w:t>State Warning Point</w:t>
      </w:r>
      <w:bookmarkEnd w:id="98"/>
      <w:r w:rsidRPr="00B37CA2">
        <w:rPr>
          <w:szCs w:val="22"/>
        </w:rPr>
        <w:t>.</w:t>
      </w:r>
      <w:r>
        <w:rPr>
          <w:rStyle w:val="FootnoteReference"/>
          <w:szCs w:val="22"/>
        </w:rPr>
        <w:footnoteReference w:id="45"/>
      </w:r>
      <w:r w:rsidRPr="00B37CA2">
        <w:rPr>
          <w:szCs w:val="22"/>
        </w:rPr>
        <w:t xml:space="preserve">  </w:t>
      </w:r>
      <w:r>
        <w:rPr>
          <w:szCs w:val="22"/>
        </w:rPr>
        <w:t>The State Warning Point</w:t>
      </w:r>
      <w:r w:rsidRPr="00B37CA2">
        <w:rPr>
          <w:szCs w:val="22"/>
        </w:rPr>
        <w:t xml:space="preserve"> </w:t>
      </w:r>
      <w:r>
        <w:rPr>
          <w:szCs w:val="22"/>
        </w:rPr>
        <w:t xml:space="preserve">uses the Hawaii Warning System </w:t>
      </w:r>
      <w:r w:rsidRPr="00B37CA2">
        <w:rPr>
          <w:szCs w:val="22"/>
        </w:rPr>
        <w:t xml:space="preserve">to </w:t>
      </w:r>
      <w:r w:rsidRPr="00B37CA2">
        <w:rPr>
          <w:rStyle w:val="s1"/>
          <w:szCs w:val="22"/>
          <w:lang w:val="en"/>
        </w:rPr>
        <w:t>transmit and receive emergency messages to and from the Emergency Operations Center and warning point for each county.</w:t>
      </w:r>
      <w:r>
        <w:rPr>
          <w:rStyle w:val="FootnoteReference"/>
          <w:kern w:val="0"/>
          <w:szCs w:val="22"/>
        </w:rPr>
        <w:footnoteReference w:id="46"/>
      </w:r>
    </w:p>
    <w:p w:rsidR="00E9413C" w:rsidRPr="005F1DA3" w:rsidP="00E9413C">
      <w:pPr>
        <w:pStyle w:val="ParaNum"/>
        <w:tabs>
          <w:tab w:val="left" w:pos="720"/>
        </w:tabs>
        <w:ind w:left="0"/>
        <w:rPr>
          <w:b/>
          <w:snapToGrid/>
        </w:rPr>
      </w:pPr>
      <w:r w:rsidRPr="005744CE">
        <w:rPr>
          <w:szCs w:val="22"/>
        </w:rPr>
        <w:t>HI-EMA operates the</w:t>
      </w:r>
      <w:r>
        <w:rPr>
          <w:szCs w:val="22"/>
        </w:rPr>
        <w:t xml:space="preserve"> State Warning Point</w:t>
      </w:r>
      <w:r w:rsidRPr="005744CE">
        <w:rPr>
          <w:szCs w:val="22"/>
        </w:rPr>
        <w:t xml:space="preserve"> on a 24-hour, 7 day-a-week basis to monitor for and respond to actual or impending emergencies.</w:t>
      </w:r>
      <w:r w:rsidRPr="005744CE">
        <w:rPr>
          <w:snapToGrid/>
          <w:kern w:val="0"/>
          <w:szCs w:val="22"/>
        </w:rPr>
        <w:t xml:space="preserve"> </w:t>
      </w:r>
      <w:r w:rsidRPr="005744CE">
        <w:rPr>
          <w:szCs w:val="22"/>
        </w:rPr>
        <w:t xml:space="preserve"> The S</w:t>
      </w:r>
      <w:r>
        <w:rPr>
          <w:szCs w:val="22"/>
        </w:rPr>
        <w:t>tate Warning Point is</w:t>
      </w:r>
      <w:r w:rsidRPr="005744CE">
        <w:rPr>
          <w:szCs w:val="22"/>
        </w:rPr>
        <w:t xml:space="preserve"> continually staffed by the </w:t>
      </w:r>
      <w:r w:rsidR="00C43E9C">
        <w:rPr>
          <w:szCs w:val="22"/>
        </w:rPr>
        <w:t xml:space="preserve">HI-EMA </w:t>
      </w:r>
      <w:r w:rsidR="00EE0ABC">
        <w:rPr>
          <w:szCs w:val="22"/>
        </w:rPr>
        <w:t xml:space="preserve">personnel </w:t>
      </w:r>
      <w:r w:rsidRPr="005744CE">
        <w:rPr>
          <w:szCs w:val="22"/>
        </w:rPr>
        <w:t xml:space="preserve">to monitor warning systems and devices and </w:t>
      </w:r>
      <w:r>
        <w:rPr>
          <w:szCs w:val="22"/>
        </w:rPr>
        <w:t>has</w:t>
      </w:r>
      <w:r w:rsidRPr="005744CE">
        <w:rPr>
          <w:szCs w:val="22"/>
        </w:rPr>
        <w:t xml:space="preserve"> the </w:t>
      </w:r>
      <w:r w:rsidR="007E45FA">
        <w:rPr>
          <w:szCs w:val="22"/>
        </w:rPr>
        <w:t>cap</w:t>
      </w:r>
      <w:r w:rsidRPr="005744CE">
        <w:rPr>
          <w:szCs w:val="22"/>
        </w:rPr>
        <w:t>ability to provide timely warning</w:t>
      </w:r>
      <w:r w:rsidR="007E45FA">
        <w:rPr>
          <w:szCs w:val="22"/>
        </w:rPr>
        <w:t>s</w:t>
      </w:r>
      <w:r w:rsidRPr="005744CE">
        <w:rPr>
          <w:szCs w:val="22"/>
        </w:rPr>
        <w:t xml:space="preserve"> and notification</w:t>
      </w:r>
      <w:r w:rsidR="007E45FA">
        <w:rPr>
          <w:szCs w:val="22"/>
        </w:rPr>
        <w:t>s</w:t>
      </w:r>
      <w:r w:rsidRPr="005744CE">
        <w:rPr>
          <w:szCs w:val="22"/>
        </w:rPr>
        <w:t xml:space="preserve"> to government officials, county warning points and emergency operations centers and, when directed, </w:t>
      </w:r>
      <w:r w:rsidR="00676B99">
        <w:rPr>
          <w:szCs w:val="22"/>
        </w:rPr>
        <w:t xml:space="preserve">to </w:t>
      </w:r>
      <w:r w:rsidRPr="005744CE">
        <w:rPr>
          <w:szCs w:val="22"/>
        </w:rPr>
        <w:t>the general public</w:t>
      </w:r>
      <w:r w:rsidRPr="005744CE">
        <w:rPr>
          <w:rStyle w:val="s1"/>
          <w:szCs w:val="22"/>
          <w:lang w:val="en"/>
        </w:rPr>
        <w:t>.</w:t>
      </w:r>
      <w:r>
        <w:rPr>
          <w:rStyle w:val="FootnoteReference"/>
          <w:szCs w:val="22"/>
          <w:lang w:val="en"/>
        </w:rPr>
        <w:footnoteReference w:id="47"/>
      </w:r>
      <w:r w:rsidRPr="005744CE">
        <w:rPr>
          <w:rStyle w:val="s1"/>
          <w:szCs w:val="22"/>
          <w:lang w:val="en"/>
        </w:rPr>
        <w:t xml:space="preserve">  </w:t>
      </w:r>
      <w:r w:rsidR="00BB5A45">
        <w:rPr>
          <w:rStyle w:val="s1"/>
          <w:szCs w:val="22"/>
          <w:lang w:val="en"/>
        </w:rPr>
        <w:t xml:space="preserve">HI-EMA </w:t>
      </w:r>
      <w:r w:rsidR="00A272D8">
        <w:rPr>
          <w:rStyle w:val="s1"/>
          <w:szCs w:val="22"/>
          <w:lang w:val="en"/>
        </w:rPr>
        <w:t>employ</w:t>
      </w:r>
      <w:r w:rsidR="00CD559E">
        <w:rPr>
          <w:rStyle w:val="s1"/>
          <w:szCs w:val="22"/>
          <w:lang w:val="en"/>
        </w:rPr>
        <w:t>s</w:t>
      </w:r>
      <w:r w:rsidR="00A272D8">
        <w:rPr>
          <w:rStyle w:val="s1"/>
          <w:szCs w:val="22"/>
          <w:lang w:val="en"/>
        </w:rPr>
        <w:t xml:space="preserve"> </w:t>
      </w:r>
      <w:r w:rsidRPr="00B37CA2">
        <w:rPr>
          <w:szCs w:val="22"/>
        </w:rPr>
        <w:t>approximately 11 warning officers and four supervisors, working in shifts (</w:t>
      </w:r>
      <w:r w:rsidRPr="00B37CA2">
        <w:rPr>
          <w:i/>
          <w:szCs w:val="22"/>
        </w:rPr>
        <w:t>i.e.</w:t>
      </w:r>
      <w:r w:rsidR="006E3852">
        <w:rPr>
          <w:szCs w:val="22"/>
        </w:rPr>
        <w:t>,</w:t>
      </w:r>
      <w:r w:rsidRPr="00B37CA2">
        <w:rPr>
          <w:szCs w:val="22"/>
        </w:rPr>
        <w:t xml:space="preserve"> day, night and midnight shifts).  Four to five warning officers are regularly scheduled for duty on each shift, and there are never fewer than two warning officers on duty at a time.  </w:t>
      </w:r>
      <w:r w:rsidR="00301CC6">
        <w:rPr>
          <w:szCs w:val="22"/>
        </w:rPr>
        <w:t>A</w:t>
      </w:r>
      <w:r w:rsidRPr="00B37CA2">
        <w:rPr>
          <w:szCs w:val="22"/>
        </w:rPr>
        <w:t xml:space="preserve"> 45-minute overlap between shifts</w:t>
      </w:r>
      <w:r w:rsidR="00301CC6">
        <w:rPr>
          <w:szCs w:val="22"/>
        </w:rPr>
        <w:t xml:space="preserve"> </w:t>
      </w:r>
      <w:r w:rsidRPr="00B37CA2">
        <w:rPr>
          <w:szCs w:val="22"/>
        </w:rPr>
        <w:t xml:space="preserve">provides time for the incoming warning officers to acknowledge receipt of the watch from the outgoing shift officers and to debrief on the previous shift’s events using an online status board.  </w:t>
      </w:r>
    </w:p>
    <w:p w:rsidR="00BF4D9A" w:rsidRPr="005B6825" w:rsidP="005B6825">
      <w:pPr>
        <w:pStyle w:val="Heading3"/>
        <w:rPr>
          <w:b w:val="0"/>
        </w:rPr>
      </w:pPr>
      <w:bookmarkStart w:id="99" w:name="_Toc507499229"/>
      <w:bookmarkStart w:id="100" w:name="_Toc511031497"/>
      <w:bookmarkStart w:id="101" w:name="_Hlk507427880"/>
      <w:r>
        <w:t xml:space="preserve">HI-EMA Ballistic Missile </w:t>
      </w:r>
      <w:r w:rsidR="00676B99">
        <w:t xml:space="preserve">Drills and </w:t>
      </w:r>
      <w:r>
        <w:t>Defense Training Protocol.</w:t>
      </w:r>
      <w:bookmarkEnd w:id="99"/>
      <w:bookmarkEnd w:id="100"/>
      <w:r>
        <w:t xml:space="preserve">  </w:t>
      </w:r>
    </w:p>
    <w:p w:rsidR="00E9413C" w:rsidP="00E9413C">
      <w:pPr>
        <w:pStyle w:val="ParaNum"/>
        <w:tabs>
          <w:tab w:val="num" w:pos="1440"/>
        </w:tabs>
        <w:ind w:left="0"/>
      </w:pPr>
      <w:r>
        <w:t xml:space="preserve">Hawaii has been actively testing </w:t>
      </w:r>
      <w:r w:rsidR="00EF1594">
        <w:t xml:space="preserve">its </w:t>
      </w:r>
      <w:r>
        <w:t>alert and warning capabilities over the past year.</w:t>
      </w:r>
      <w:r>
        <w:rPr>
          <w:rStyle w:val="FootnoteReference"/>
        </w:rPr>
        <w:footnoteReference w:id="48"/>
      </w:r>
      <w:r>
        <w:t xml:space="preserve">  On May 5, 2017, HI-EMA began converting </w:t>
      </w:r>
      <w:r w:rsidR="00EF1594">
        <w:t>its</w:t>
      </w:r>
      <w:r>
        <w:t xml:space="preserve"> training protocol for falling debris (</w:t>
      </w:r>
      <w:r>
        <w:rPr>
          <w:i/>
        </w:rPr>
        <w:t>e.g.</w:t>
      </w:r>
      <w:r>
        <w:t xml:space="preserve">, from a disabled satellite) into a ballistic missile preparedness drill </w:t>
      </w:r>
      <w:r w:rsidR="00EE17BF">
        <w:t>because of</w:t>
      </w:r>
      <w:r>
        <w:t xml:space="preserve"> the nuclear threat from North Korea.  The ballistic missile defense training protocol simulates </w:t>
      </w:r>
      <w:r w:rsidR="009B7A01">
        <w:t>an initial notification</w:t>
      </w:r>
      <w:r>
        <w:t xml:space="preserve"> from </w:t>
      </w:r>
      <w:r w:rsidR="00D76465">
        <w:t xml:space="preserve">PACOM </w:t>
      </w:r>
      <w:r w:rsidR="005D4AF5">
        <w:t>to HI-EMA that Hawaii is under a ballistic missile threat</w:t>
      </w:r>
      <w:r>
        <w:t xml:space="preserve">.  It begins with a mock call from a warning officer </w:t>
      </w:r>
      <w:r w:rsidR="006A1F22">
        <w:t xml:space="preserve">or shift supervisor </w:t>
      </w:r>
      <w:r>
        <w:t xml:space="preserve">simulating the role of PACOM, and </w:t>
      </w:r>
      <w:r w:rsidR="00EF1594">
        <w:t xml:space="preserve">it </w:t>
      </w:r>
      <w:r>
        <w:t xml:space="preserve">ends with the transmission of an internal </w:t>
      </w:r>
      <w:r w:rsidR="00676B99">
        <w:t>(</w:t>
      </w:r>
      <w:r w:rsidRPr="004E7341" w:rsidR="00676B99">
        <w:rPr>
          <w:i/>
        </w:rPr>
        <w:t>i.e.</w:t>
      </w:r>
      <w:r w:rsidR="00676B99">
        <w:t xml:space="preserve">, non-public) </w:t>
      </w:r>
      <w:r>
        <w:t>test message to FEMA IPAWS.  The test is not sent to consumer phones, radios or televisions.</w:t>
      </w:r>
      <w:r>
        <w:rPr>
          <w:rStyle w:val="FootnoteReference"/>
        </w:rPr>
        <w:footnoteReference w:id="49"/>
      </w:r>
      <w:r>
        <w:t xml:space="preserve">  By November 27, 2017, HI-EMA was regularly running </w:t>
      </w:r>
      <w:r w:rsidR="00676B99">
        <w:t>these internal tests on a “</w:t>
      </w:r>
      <w:r>
        <w:t>no-notice</w:t>
      </w:r>
      <w:r w:rsidR="00676B99">
        <w:t>”</w:t>
      </w:r>
      <w:r>
        <w:t xml:space="preserve"> </w:t>
      </w:r>
      <w:r w:rsidR="00676B99">
        <w:t>basis to staff</w:t>
      </w:r>
      <w:r>
        <w:t>.</w:t>
      </w:r>
      <w:r>
        <w:rPr>
          <w:rStyle w:val="FootnoteReference"/>
        </w:rPr>
        <w:footnoteReference w:id="50"/>
      </w:r>
      <w:r>
        <w:t xml:space="preserve">  The protocols and procedures for this </w:t>
      </w:r>
      <w:r w:rsidR="00676B99">
        <w:t xml:space="preserve">type of </w:t>
      </w:r>
      <w:r>
        <w:t xml:space="preserve">drill were memorialized in a 20-step </w:t>
      </w:r>
      <w:bookmarkStart w:id="102" w:name="_Hlk507343875"/>
      <w:r w:rsidR="007D48B8">
        <w:t>b</w:t>
      </w:r>
      <w:r>
        <w:t xml:space="preserve">allistic </w:t>
      </w:r>
      <w:r w:rsidR="007D48B8">
        <w:t>m</w:t>
      </w:r>
      <w:r>
        <w:t xml:space="preserve">issile </w:t>
      </w:r>
      <w:r w:rsidR="007D48B8">
        <w:t>a</w:t>
      </w:r>
      <w:r>
        <w:t>lert checklist</w:t>
      </w:r>
      <w:bookmarkEnd w:id="102"/>
      <w:r>
        <w:t>, which had been refined over months of testing through iterative practice and feedback on lessons learned.</w:t>
      </w:r>
      <w:r>
        <w:rPr>
          <w:rStyle w:val="FootnoteReference"/>
        </w:rPr>
        <w:footnoteReference w:id="51"/>
      </w:r>
      <w:r>
        <w:t xml:space="preserve">  </w:t>
      </w:r>
      <w:r w:rsidRPr="005D44A3" w:rsidR="00A51ED7">
        <w:t xml:space="preserve">In mid-December 2017, HI-EMA replaced its </w:t>
      </w:r>
      <w:r w:rsidR="00A51ED7">
        <w:t xml:space="preserve">older </w:t>
      </w:r>
      <w:r w:rsidRPr="005D44A3" w:rsidR="00A51ED7">
        <w:t xml:space="preserve">alert origination software with new </w:t>
      </w:r>
      <w:r w:rsidR="00A51ED7">
        <w:t>alert origination software</w:t>
      </w:r>
      <w:r w:rsidRPr="005D44A3" w:rsidR="00A51ED7">
        <w:t>.</w:t>
      </w:r>
      <w:r>
        <w:rPr>
          <w:vertAlign w:val="superscript"/>
        </w:rPr>
        <w:footnoteReference w:id="52"/>
      </w:r>
      <w:r w:rsidRPr="005D44A3" w:rsidR="00A51ED7">
        <w:t xml:space="preserve">  </w:t>
      </w:r>
      <w:r>
        <w:t>During a</w:t>
      </w:r>
      <w:r w:rsidR="004C4E74">
        <w:t>ny</w:t>
      </w:r>
      <w:r>
        <w:t xml:space="preserve"> practice drill</w:t>
      </w:r>
      <w:r w:rsidR="004C4E74">
        <w:t>s</w:t>
      </w:r>
      <w:r w:rsidR="00DE2CDE">
        <w:t xml:space="preserve"> using </w:t>
      </w:r>
      <w:r w:rsidR="00245C52">
        <w:t>HI-EMA’s</w:t>
      </w:r>
      <w:r w:rsidR="00DE2CDE">
        <w:t xml:space="preserve"> </w:t>
      </w:r>
      <w:r w:rsidR="00A51ED7">
        <w:t xml:space="preserve">new </w:t>
      </w:r>
      <w:r w:rsidR="00DE2CDE">
        <w:t>alert origination software</w:t>
      </w:r>
      <w:r>
        <w:t xml:space="preserve">, the simulated PACOM initial notification message would be preceded and </w:t>
      </w:r>
      <w:r w:rsidR="00A83D34">
        <w:t xml:space="preserve">followed </w:t>
      </w:r>
      <w:r>
        <w:t>with the phrase “Exercise, Exercise, Exercise.”</w:t>
      </w:r>
      <w:r>
        <w:rPr>
          <w:rStyle w:val="FootnoteReference"/>
        </w:rPr>
        <w:footnoteReference w:id="53"/>
      </w:r>
      <w:r>
        <w:t xml:space="preserve"> </w:t>
      </w:r>
      <w:r w:rsidRPr="003F4F38">
        <w:t xml:space="preserve"> </w:t>
      </w:r>
    </w:p>
    <w:p w:rsidR="00BF4D9A" w:rsidP="005B6825">
      <w:pPr>
        <w:pStyle w:val="Heading3"/>
      </w:pPr>
      <w:bookmarkStart w:id="103" w:name="_Toc507499230"/>
      <w:bookmarkStart w:id="104" w:name="_Toc511031498"/>
      <w:r w:rsidRPr="00EE0931">
        <w:t xml:space="preserve">False </w:t>
      </w:r>
      <w:bookmarkStart w:id="105" w:name="_Toc504583131"/>
      <w:bookmarkStart w:id="106" w:name="_Toc504589351"/>
      <w:bookmarkStart w:id="107" w:name="_Toc504643921"/>
      <w:bookmarkStart w:id="108" w:name="_Toc504673426"/>
      <w:bookmarkStart w:id="109" w:name="_Toc504733597"/>
      <w:bookmarkStart w:id="110" w:name="_Toc478723828"/>
      <w:bookmarkStart w:id="111" w:name="_Toc479420548"/>
      <w:bookmarkStart w:id="112" w:name="_Toc479765330"/>
      <w:bookmarkStart w:id="113" w:name="_Toc479775720"/>
      <w:bookmarkStart w:id="114" w:name="_Toc480185626"/>
      <w:bookmarkStart w:id="115" w:name="_Toc480186028"/>
      <w:bookmarkStart w:id="116" w:name="_Toc480297599"/>
      <w:bookmarkStart w:id="117" w:name="_Toc480304752"/>
      <w:bookmarkStart w:id="118" w:name="_Toc480389940"/>
      <w:bookmarkStart w:id="119" w:name="_Toc480390117"/>
      <w:bookmarkStart w:id="120" w:name="_Toc480390626"/>
      <w:bookmarkStart w:id="121" w:name="_Toc480560996"/>
      <w:bookmarkStart w:id="122" w:name="_Toc480810197"/>
      <w:bookmarkStart w:id="123" w:name="_Toc480810310"/>
      <w:bookmarkStart w:id="124" w:name="_Toc480814317"/>
      <w:bookmarkStart w:id="125" w:name="_Toc480875854"/>
      <w:bookmarkStart w:id="126" w:name="_Toc481075315"/>
      <w:bookmarkStart w:id="127" w:name="_Toc481156445"/>
      <w:bookmarkStart w:id="128" w:name="_Toc481165582"/>
      <w:bookmarkStart w:id="129" w:name="_Toc481485321"/>
      <w:bookmarkStart w:id="130" w:name="_Toc481507581"/>
      <w:bookmarkStart w:id="131" w:name="_Toc481769920"/>
      <w:bookmarkStart w:id="132" w:name="_Toc482007241"/>
      <w:bookmarkStart w:id="133" w:name="_Toc482282835"/>
      <w:bookmarkStart w:id="134" w:name="_Toc482370861"/>
      <w:bookmarkStart w:id="135" w:name="_Toc482700862"/>
      <w:bookmarkStart w:id="136" w:name="_Toc482706527"/>
      <w:bookmarkStart w:id="137" w:name="_Toc504394488"/>
      <w:r>
        <w:t xml:space="preserve">Ballistic Missile </w:t>
      </w:r>
      <w:r w:rsidRPr="00EE0931">
        <w:t>Alert Timeline.</w:t>
      </w:r>
      <w:bookmarkEnd w:id="103"/>
      <w:bookmarkEnd w:id="104"/>
      <w:r w:rsidRPr="00EE0931">
        <w:t xml:space="preserve">  </w:t>
      </w:r>
    </w:p>
    <w:p w:rsidR="00E9413C" w:rsidRPr="008306F8" w:rsidP="00E9413C">
      <w:pPr>
        <w:pStyle w:val="ParaNum"/>
        <w:tabs>
          <w:tab w:val="num" w:pos="1440"/>
        </w:tabs>
        <w:ind w:left="0"/>
        <w:rPr>
          <w:szCs w:val="22"/>
        </w:rPr>
      </w:pPr>
      <w:r>
        <w:rPr>
          <w:szCs w:val="22"/>
        </w:rPr>
        <w:t xml:space="preserve">On January 13, 2018, </w:t>
      </w:r>
      <w:r w:rsidR="003D7016">
        <w:rPr>
          <w:szCs w:val="22"/>
        </w:rPr>
        <w:t xml:space="preserve">during </w:t>
      </w:r>
      <w:r>
        <w:rPr>
          <w:szCs w:val="22"/>
        </w:rPr>
        <w:t xml:space="preserve">HI-EMA’s </w:t>
      </w:r>
      <w:bookmarkStart w:id="138" w:name="_Hlk507343895"/>
      <w:r w:rsidR="003D7016">
        <w:rPr>
          <w:szCs w:val="22"/>
        </w:rPr>
        <w:t xml:space="preserve">internal drill using the </w:t>
      </w:r>
      <w:r>
        <w:rPr>
          <w:szCs w:val="22"/>
        </w:rPr>
        <w:t xml:space="preserve">ballistic missile preparedness </w:t>
      </w:r>
      <w:r w:rsidR="000D1D0B">
        <w:rPr>
          <w:szCs w:val="22"/>
        </w:rPr>
        <w:t>checklist</w:t>
      </w:r>
      <w:r w:rsidR="003D7016">
        <w:rPr>
          <w:szCs w:val="22"/>
        </w:rPr>
        <w:t>,</w:t>
      </w:r>
      <w:r>
        <w:rPr>
          <w:szCs w:val="22"/>
        </w:rPr>
        <w:t xml:space="preserve"> </w:t>
      </w:r>
      <w:bookmarkEnd w:id="138"/>
      <w:r w:rsidR="00676B99">
        <w:rPr>
          <w:szCs w:val="22"/>
        </w:rPr>
        <w:t xml:space="preserve">HI-EMA </w:t>
      </w:r>
      <w:r w:rsidR="003D7016">
        <w:rPr>
          <w:szCs w:val="22"/>
        </w:rPr>
        <w:t xml:space="preserve">transmitted </w:t>
      </w:r>
      <w:r>
        <w:rPr>
          <w:szCs w:val="22"/>
        </w:rPr>
        <w:t>a false alert</w:t>
      </w:r>
      <w:r w:rsidR="003D7016">
        <w:rPr>
          <w:szCs w:val="22"/>
        </w:rPr>
        <w:t xml:space="preserve"> over EAS and WEA</w:t>
      </w:r>
      <w:r>
        <w:rPr>
          <w:szCs w:val="22"/>
        </w:rPr>
        <w:t xml:space="preserve">.  </w:t>
      </w:r>
      <w:r w:rsidRPr="00AC4F1C">
        <w:rPr>
          <w:szCs w:val="22"/>
        </w:rPr>
        <w:t>The following table presents a timeline of the events immediately leading to the false alert,</w:t>
      </w:r>
      <w:r>
        <w:t xml:space="preserve"> delays in correcting the false alert, and </w:t>
      </w:r>
      <w:r w:rsidR="0054272E">
        <w:t xml:space="preserve">HI-EMA, </w:t>
      </w:r>
      <w:r w:rsidR="004223A1">
        <w:t xml:space="preserve">the </w:t>
      </w:r>
      <w:r w:rsidR="0054272E">
        <w:t>Hawaii Department of Defense</w:t>
      </w:r>
      <w:r w:rsidR="00864660">
        <w:t xml:space="preserve"> (HI-DOD)</w:t>
      </w:r>
      <w:r w:rsidR="009D1354">
        <w:t>,</w:t>
      </w:r>
      <w:r w:rsidR="0054272E">
        <w:t xml:space="preserve"> and the Hawaii Governor’s</w:t>
      </w:r>
      <w:r>
        <w:t xml:space="preserve"> efforts to </w:t>
      </w:r>
      <w:r w:rsidRPr="008306F8">
        <w:rPr>
          <w:szCs w:val="22"/>
        </w:rPr>
        <w:t xml:space="preserve">communicate with and reassure the public by reaching out </w:t>
      </w:r>
      <w:r w:rsidRPr="008306F8" w:rsidR="00EF1594">
        <w:rPr>
          <w:szCs w:val="22"/>
        </w:rPr>
        <w:t>t</w:t>
      </w:r>
      <w:r w:rsidR="00EF1594">
        <w:rPr>
          <w:szCs w:val="22"/>
        </w:rPr>
        <w:t>hrough</w:t>
      </w:r>
      <w:r w:rsidRPr="008306F8" w:rsidR="00EF1594">
        <w:rPr>
          <w:szCs w:val="22"/>
        </w:rPr>
        <w:t xml:space="preserve"> </w:t>
      </w:r>
      <w:r w:rsidRPr="008306F8">
        <w:rPr>
          <w:szCs w:val="22"/>
        </w:rPr>
        <w:t>social media, broadcast and other sources.</w:t>
      </w:r>
      <w:bookmarkEnd w:id="10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435"/>
        <w:gridCol w:w="7915"/>
      </w:tblGrid>
      <w:tr w:rsidTr="003E6A3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435" w:type="dxa"/>
            <w:shd w:val="clear" w:color="auto" w:fill="EEECE1" w:themeFill="background2"/>
          </w:tcPr>
          <w:p w:rsidR="00E9413C" w:rsidRPr="008F022F" w:rsidP="00900A17">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b/>
                <w:snapToGrid w:val="0"/>
                <w:kern w:val="28"/>
                <w:sz w:val="22"/>
                <w:szCs w:val="22"/>
                <w:lang w:val="en-US" w:eastAsia="en-US" w:bidi="ar-SA"/>
              </w:rPr>
            </w:pPr>
            <w:r w:rsidRPr="008F022F">
              <w:rPr>
                <w:rFonts w:ascii="Times New Roman" w:eastAsia="Times New Roman" w:hAnsi="Times New Roman" w:cs="Times New Roman"/>
                <w:b/>
                <w:snapToGrid w:val="0"/>
                <w:kern w:val="28"/>
                <w:sz w:val="22"/>
                <w:szCs w:val="22"/>
                <w:lang w:val="en-US" w:eastAsia="en-US" w:bidi="ar-SA"/>
              </w:rPr>
              <w:t>Time (HST)</w:t>
            </w:r>
          </w:p>
        </w:tc>
        <w:tc>
          <w:tcPr>
            <w:tcW w:w="7915" w:type="dxa"/>
            <w:shd w:val="clear" w:color="auto" w:fill="EEECE1" w:themeFill="background2"/>
          </w:tcPr>
          <w:p w:rsidR="00E9413C" w:rsidRPr="00AE2DE0" w:rsidP="00900A17">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b/>
                <w:snapToGrid w:val="0"/>
                <w:kern w:val="28"/>
                <w:sz w:val="22"/>
                <w:szCs w:val="22"/>
                <w:lang w:val="en-US" w:eastAsia="en-US" w:bidi="ar-SA"/>
              </w:rPr>
            </w:pPr>
            <w:r w:rsidRPr="00AE2DE0">
              <w:rPr>
                <w:rFonts w:ascii="Times New Roman" w:eastAsia="Times New Roman" w:hAnsi="Times New Roman" w:cs="Times New Roman"/>
                <w:b/>
                <w:snapToGrid w:val="0"/>
                <w:kern w:val="28"/>
                <w:sz w:val="22"/>
                <w:szCs w:val="22"/>
                <w:lang w:val="en-US" w:eastAsia="en-US" w:bidi="ar-SA"/>
              </w:rPr>
              <w:t>Event</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8:00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r w:rsidR="008F022F">
              <w:rPr>
                <w:rFonts w:ascii="Times New Roman" w:eastAsia="Times New Roman" w:hAnsi="Times New Roman" w:cs="Times New Roman"/>
                <w:snapToGrid w:val="0"/>
                <w:kern w:val="28"/>
                <w:sz w:val="22"/>
                <w:szCs w:val="22"/>
                <w:lang w:val="en-US" w:eastAsia="en-US" w:bidi="ar-SA"/>
              </w:rPr>
              <w:t xml:space="preserve"> – 8:05 a</w:t>
            </w:r>
            <w:r w:rsidR="009511E9">
              <w:rPr>
                <w:rFonts w:ascii="Times New Roman" w:eastAsia="Times New Roman" w:hAnsi="Times New Roman" w:cs="Times New Roman"/>
                <w:snapToGrid w:val="0"/>
                <w:kern w:val="28"/>
                <w:sz w:val="22"/>
                <w:szCs w:val="22"/>
                <w:lang w:val="en-US" w:eastAsia="en-US" w:bidi="ar-SA"/>
              </w:rPr>
              <w:t>.</w:t>
            </w:r>
            <w:r w:rsid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3E6A33">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HI-EMA’s midnight shift transfers watch responsibility to the day shift.</w:t>
            </w:r>
            <w:r>
              <w:rPr>
                <w:rStyle w:val="FootnoteReference"/>
                <w:sz w:val="22"/>
                <w:szCs w:val="22"/>
              </w:rPr>
              <w:footnoteReference w:id="54"/>
            </w:r>
          </w:p>
          <w:p w:rsidR="005D69E4" w:rsidRPr="008F022F" w:rsidP="003E6A33">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The midnight shift supervisor </w:t>
            </w:r>
            <w:r w:rsidRPr="008F022F" w:rsidR="0033713B">
              <w:rPr>
                <w:rFonts w:ascii="Times New Roman" w:eastAsia="Times New Roman" w:hAnsi="Times New Roman" w:cs="Times New Roman"/>
                <w:snapToGrid w:val="0"/>
                <w:kern w:val="28"/>
                <w:sz w:val="22"/>
                <w:szCs w:val="22"/>
                <w:lang w:val="en-US" w:eastAsia="en-US" w:bidi="ar-SA"/>
              </w:rPr>
              <w:t xml:space="preserve">orally </w:t>
            </w:r>
            <w:r w:rsidRPr="008F022F">
              <w:rPr>
                <w:rFonts w:ascii="Times New Roman" w:eastAsia="Times New Roman" w:hAnsi="Times New Roman" w:cs="Times New Roman"/>
                <w:snapToGrid w:val="0"/>
                <w:kern w:val="28"/>
                <w:sz w:val="22"/>
                <w:szCs w:val="22"/>
                <w:lang w:val="en-US" w:eastAsia="en-US" w:bidi="ar-SA"/>
              </w:rPr>
              <w:t>apprise</w:t>
            </w:r>
            <w:r w:rsidRPr="008F022F" w:rsidR="00031D3C">
              <w:rPr>
                <w:rFonts w:ascii="Times New Roman" w:eastAsia="Times New Roman" w:hAnsi="Times New Roman" w:cs="Times New Roman"/>
                <w:snapToGrid w:val="0"/>
                <w:kern w:val="28"/>
                <w:sz w:val="22"/>
                <w:szCs w:val="22"/>
                <w:lang w:val="en-US" w:eastAsia="en-US" w:bidi="ar-SA"/>
              </w:rPr>
              <w:t>s</w:t>
            </w:r>
            <w:r w:rsidRPr="008F022F">
              <w:rPr>
                <w:rFonts w:ascii="Times New Roman" w:eastAsia="Times New Roman" w:hAnsi="Times New Roman" w:cs="Times New Roman"/>
                <w:snapToGrid w:val="0"/>
                <w:kern w:val="28"/>
                <w:sz w:val="22"/>
                <w:szCs w:val="22"/>
                <w:lang w:val="en-US" w:eastAsia="en-US" w:bidi="ar-SA"/>
              </w:rPr>
              <w:t xml:space="preserve"> the day shift supervisor that the midnight shift supervisor </w:t>
            </w:r>
            <w:r w:rsidRPr="008F022F" w:rsidR="0046737C">
              <w:rPr>
                <w:rFonts w:ascii="Times New Roman" w:eastAsia="Times New Roman" w:hAnsi="Times New Roman" w:cs="Times New Roman"/>
                <w:snapToGrid w:val="0"/>
                <w:kern w:val="28"/>
                <w:sz w:val="22"/>
                <w:szCs w:val="22"/>
                <w:lang w:val="en-US" w:eastAsia="en-US" w:bidi="ar-SA"/>
              </w:rPr>
              <w:t>want</w:t>
            </w:r>
            <w:r w:rsidRPr="008F022F" w:rsidR="0033713B">
              <w:rPr>
                <w:rFonts w:ascii="Times New Roman" w:eastAsia="Times New Roman" w:hAnsi="Times New Roman" w:cs="Times New Roman"/>
                <w:snapToGrid w:val="0"/>
                <w:kern w:val="28"/>
                <w:sz w:val="22"/>
                <w:szCs w:val="22"/>
                <w:lang w:val="en-US" w:eastAsia="en-US" w:bidi="ar-SA"/>
              </w:rPr>
              <w:t>s</w:t>
            </w:r>
            <w:r w:rsidRPr="008F022F" w:rsidR="0046737C">
              <w:rPr>
                <w:rFonts w:ascii="Times New Roman" w:eastAsia="Times New Roman" w:hAnsi="Times New Roman" w:cs="Times New Roman"/>
                <w:snapToGrid w:val="0"/>
                <w:kern w:val="28"/>
                <w:sz w:val="22"/>
                <w:szCs w:val="22"/>
                <w:lang w:val="en-US" w:eastAsia="en-US" w:bidi="ar-SA"/>
              </w:rPr>
              <w:t xml:space="preserve"> </w:t>
            </w:r>
            <w:r w:rsidRPr="008F022F">
              <w:rPr>
                <w:rFonts w:ascii="Times New Roman" w:eastAsia="Times New Roman" w:hAnsi="Times New Roman" w:cs="Times New Roman"/>
                <w:snapToGrid w:val="0"/>
                <w:kern w:val="28"/>
                <w:sz w:val="22"/>
                <w:szCs w:val="22"/>
                <w:lang w:val="en-US" w:eastAsia="en-US" w:bidi="ar-SA"/>
              </w:rPr>
              <w:t>to run a drill</w:t>
            </w:r>
            <w:r w:rsidR="009D1354">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 xml:space="preserve"> but the midnight shift supervisor d</w:t>
            </w:r>
            <w:r w:rsidRPr="008F022F" w:rsidR="0033713B">
              <w:rPr>
                <w:rFonts w:ascii="Times New Roman" w:eastAsia="Times New Roman" w:hAnsi="Times New Roman" w:cs="Times New Roman"/>
                <w:snapToGrid w:val="0"/>
                <w:kern w:val="28"/>
                <w:sz w:val="22"/>
                <w:szCs w:val="22"/>
                <w:lang w:val="en-US" w:eastAsia="en-US" w:bidi="ar-SA"/>
              </w:rPr>
              <w:t>oes</w:t>
            </w:r>
            <w:r w:rsidRPr="008F022F">
              <w:rPr>
                <w:rFonts w:ascii="Times New Roman" w:eastAsia="Times New Roman" w:hAnsi="Times New Roman" w:cs="Times New Roman"/>
                <w:snapToGrid w:val="0"/>
                <w:kern w:val="28"/>
                <w:sz w:val="22"/>
                <w:szCs w:val="22"/>
                <w:lang w:val="en-US" w:eastAsia="en-US" w:bidi="ar-SA"/>
              </w:rPr>
              <w:t xml:space="preserve"> not make explicitly clear to the day shift supervisor that the midnight shift supervisor </w:t>
            </w:r>
            <w:r w:rsidRPr="008F022F" w:rsidR="0046737C">
              <w:rPr>
                <w:rFonts w:ascii="Times New Roman" w:eastAsia="Times New Roman" w:hAnsi="Times New Roman" w:cs="Times New Roman"/>
                <w:snapToGrid w:val="0"/>
                <w:kern w:val="28"/>
                <w:sz w:val="22"/>
                <w:szCs w:val="22"/>
                <w:lang w:val="en-US" w:eastAsia="en-US" w:bidi="ar-SA"/>
              </w:rPr>
              <w:t>intend</w:t>
            </w:r>
            <w:r w:rsidRPr="008F022F" w:rsidR="0033713B">
              <w:rPr>
                <w:rFonts w:ascii="Times New Roman" w:eastAsia="Times New Roman" w:hAnsi="Times New Roman" w:cs="Times New Roman"/>
                <w:snapToGrid w:val="0"/>
                <w:kern w:val="28"/>
                <w:sz w:val="22"/>
                <w:szCs w:val="22"/>
                <w:lang w:val="en-US" w:eastAsia="en-US" w:bidi="ar-SA"/>
              </w:rPr>
              <w:t>s</w:t>
            </w:r>
            <w:r w:rsidRPr="008F022F">
              <w:rPr>
                <w:rFonts w:ascii="Times New Roman" w:eastAsia="Times New Roman" w:hAnsi="Times New Roman" w:cs="Times New Roman"/>
                <w:snapToGrid w:val="0"/>
                <w:kern w:val="28"/>
                <w:sz w:val="22"/>
                <w:szCs w:val="22"/>
                <w:lang w:val="en-US" w:eastAsia="en-US" w:bidi="ar-SA"/>
              </w:rPr>
              <w:t xml:space="preserve"> to run the drill with the day shift warning officers during the shift change.</w:t>
            </w:r>
          </w:p>
          <w:p w:rsidR="00753E3A" w:rsidRPr="008F022F" w:rsidP="003E6A33">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There </w:t>
            </w:r>
            <w:r w:rsidRPr="008F022F" w:rsidR="00D85D04">
              <w:rPr>
                <w:rFonts w:ascii="Times New Roman" w:eastAsia="Times New Roman" w:hAnsi="Times New Roman" w:cs="Times New Roman"/>
                <w:snapToGrid w:val="0"/>
                <w:kern w:val="28"/>
                <w:sz w:val="22"/>
                <w:szCs w:val="22"/>
                <w:lang w:val="en-US" w:eastAsia="en-US" w:bidi="ar-SA"/>
              </w:rPr>
              <w:t>are</w:t>
            </w:r>
            <w:r w:rsidRPr="008F022F">
              <w:rPr>
                <w:rFonts w:ascii="Times New Roman" w:eastAsia="Times New Roman" w:hAnsi="Times New Roman" w:cs="Times New Roman"/>
                <w:snapToGrid w:val="0"/>
                <w:kern w:val="28"/>
                <w:sz w:val="22"/>
                <w:szCs w:val="22"/>
                <w:lang w:val="en-US" w:eastAsia="en-US" w:bidi="ar-SA"/>
              </w:rPr>
              <w:t xml:space="preserve"> two people on the midnight shift and four people on the day shift.  Only three </w:t>
            </w:r>
            <w:r w:rsidRPr="008F022F" w:rsidR="0046737C">
              <w:rPr>
                <w:rFonts w:ascii="Times New Roman" w:eastAsia="Times New Roman" w:hAnsi="Times New Roman" w:cs="Times New Roman"/>
                <w:snapToGrid w:val="0"/>
                <w:kern w:val="28"/>
                <w:sz w:val="22"/>
                <w:szCs w:val="22"/>
                <w:lang w:val="en-US" w:eastAsia="en-US" w:bidi="ar-SA"/>
              </w:rPr>
              <w:t>day</w:t>
            </w:r>
            <w:r w:rsidR="0060507E">
              <w:rPr>
                <w:rFonts w:ascii="Times New Roman" w:eastAsia="Times New Roman" w:hAnsi="Times New Roman" w:cs="Times New Roman"/>
                <w:snapToGrid w:val="0"/>
                <w:kern w:val="28"/>
                <w:sz w:val="22"/>
                <w:szCs w:val="22"/>
                <w:lang w:val="en-US" w:eastAsia="en-US" w:bidi="ar-SA"/>
              </w:rPr>
              <w:t>-</w:t>
            </w:r>
            <w:r w:rsidRPr="008F022F" w:rsidR="0046737C">
              <w:rPr>
                <w:rFonts w:ascii="Times New Roman" w:eastAsia="Times New Roman" w:hAnsi="Times New Roman" w:cs="Times New Roman"/>
                <w:snapToGrid w:val="0"/>
                <w:kern w:val="28"/>
                <w:sz w:val="22"/>
                <w:szCs w:val="22"/>
                <w:lang w:val="en-US" w:eastAsia="en-US" w:bidi="ar-SA"/>
              </w:rPr>
              <w:t xml:space="preserve">shift </w:t>
            </w:r>
            <w:r w:rsidRPr="008F022F">
              <w:rPr>
                <w:rFonts w:ascii="Times New Roman" w:eastAsia="Times New Roman" w:hAnsi="Times New Roman" w:cs="Times New Roman"/>
                <w:snapToGrid w:val="0"/>
                <w:kern w:val="28"/>
                <w:sz w:val="22"/>
                <w:szCs w:val="22"/>
                <w:lang w:val="en-US" w:eastAsia="en-US" w:bidi="ar-SA"/>
              </w:rPr>
              <w:t xml:space="preserve">warning officers </w:t>
            </w:r>
            <w:r w:rsidRPr="008F022F" w:rsidR="00D85D04">
              <w:rPr>
                <w:rFonts w:ascii="Times New Roman" w:eastAsia="Times New Roman" w:hAnsi="Times New Roman" w:cs="Times New Roman"/>
                <w:snapToGrid w:val="0"/>
                <w:kern w:val="28"/>
                <w:sz w:val="22"/>
                <w:szCs w:val="22"/>
                <w:lang w:val="en-US" w:eastAsia="en-US" w:bidi="ar-SA"/>
              </w:rPr>
              <w:t xml:space="preserve">are </w:t>
            </w:r>
            <w:r w:rsidRPr="008F022F">
              <w:rPr>
                <w:rFonts w:ascii="Times New Roman" w:eastAsia="Times New Roman" w:hAnsi="Times New Roman" w:cs="Times New Roman"/>
                <w:snapToGrid w:val="0"/>
                <w:kern w:val="28"/>
                <w:sz w:val="22"/>
                <w:szCs w:val="22"/>
                <w:lang w:val="en-US" w:eastAsia="en-US" w:bidi="ar-SA"/>
              </w:rPr>
              <w:t>in the warning point at the t</w:t>
            </w:r>
            <w:r w:rsidRPr="008F022F" w:rsidR="0046737C">
              <w:rPr>
                <w:rFonts w:ascii="Times New Roman" w:eastAsia="Times New Roman" w:hAnsi="Times New Roman" w:cs="Times New Roman"/>
                <w:snapToGrid w:val="0"/>
                <w:kern w:val="28"/>
                <w:sz w:val="22"/>
                <w:szCs w:val="22"/>
                <w:lang w:val="en-US" w:eastAsia="en-US" w:bidi="ar-SA"/>
              </w:rPr>
              <w:t>ime of the drill.  The day shift</w:t>
            </w:r>
            <w:r w:rsidRPr="008F022F">
              <w:rPr>
                <w:rFonts w:ascii="Times New Roman" w:eastAsia="Times New Roman" w:hAnsi="Times New Roman" w:cs="Times New Roman"/>
                <w:snapToGrid w:val="0"/>
                <w:kern w:val="28"/>
                <w:sz w:val="22"/>
                <w:szCs w:val="22"/>
                <w:lang w:val="en-US" w:eastAsia="en-US" w:bidi="ar-SA"/>
              </w:rPr>
              <w:t xml:space="preserve"> supervisor </w:t>
            </w:r>
            <w:r w:rsidR="00B26281">
              <w:rPr>
                <w:rFonts w:ascii="Times New Roman" w:eastAsia="Times New Roman" w:hAnsi="Times New Roman" w:cs="Times New Roman"/>
                <w:snapToGrid w:val="0"/>
                <w:kern w:val="28"/>
                <w:sz w:val="22"/>
                <w:szCs w:val="22"/>
                <w:lang w:val="en-US" w:eastAsia="en-US" w:bidi="ar-SA"/>
              </w:rPr>
              <w:t xml:space="preserve">does not understand that the drill </w:t>
            </w:r>
            <w:r w:rsidR="00834AFF">
              <w:rPr>
                <w:rFonts w:ascii="Times New Roman" w:eastAsia="Times New Roman" w:hAnsi="Times New Roman" w:cs="Times New Roman"/>
                <w:snapToGrid w:val="0"/>
                <w:kern w:val="28"/>
                <w:sz w:val="22"/>
                <w:szCs w:val="22"/>
                <w:lang w:val="en-US" w:eastAsia="en-US" w:bidi="ar-SA"/>
              </w:rPr>
              <w:t xml:space="preserve">is about to occur during the shift change and therefore </w:t>
            </w:r>
            <w:r w:rsidRPr="008F022F" w:rsidR="00D85D04">
              <w:rPr>
                <w:rFonts w:ascii="Times New Roman" w:eastAsia="Times New Roman" w:hAnsi="Times New Roman" w:cs="Times New Roman"/>
                <w:snapToGrid w:val="0"/>
                <w:kern w:val="28"/>
                <w:sz w:val="22"/>
                <w:szCs w:val="22"/>
                <w:lang w:val="en-US" w:eastAsia="en-US" w:bidi="ar-SA"/>
              </w:rPr>
              <w:t>is</w:t>
            </w:r>
            <w:r w:rsidRPr="008F022F">
              <w:rPr>
                <w:rFonts w:ascii="Times New Roman" w:eastAsia="Times New Roman" w:hAnsi="Times New Roman" w:cs="Times New Roman"/>
                <w:snapToGrid w:val="0"/>
                <w:kern w:val="28"/>
                <w:sz w:val="22"/>
                <w:szCs w:val="22"/>
                <w:lang w:val="en-US" w:eastAsia="en-US" w:bidi="ar-SA"/>
              </w:rPr>
              <w:t xml:space="preserve"> not in the warning point</w:t>
            </w:r>
            <w:r w:rsidR="00834AFF">
              <w:rPr>
                <w:rFonts w:ascii="Times New Roman" w:eastAsia="Times New Roman" w:hAnsi="Times New Roman" w:cs="Times New Roman"/>
                <w:snapToGrid w:val="0"/>
                <w:kern w:val="28"/>
                <w:sz w:val="22"/>
                <w:szCs w:val="22"/>
                <w:lang w:val="en-US" w:eastAsia="en-US" w:bidi="ar-SA"/>
              </w:rPr>
              <w:t>.</w:t>
            </w:r>
          </w:p>
          <w:p w:rsidR="00753E3A" w:rsidRPr="008F022F" w:rsidP="003E6A33">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As a result, the day shift supervisor </w:t>
            </w:r>
            <w:r w:rsidRPr="008F022F" w:rsidR="00D85D04">
              <w:rPr>
                <w:rFonts w:ascii="Times New Roman" w:eastAsia="Times New Roman" w:hAnsi="Times New Roman" w:cs="Times New Roman"/>
                <w:snapToGrid w:val="0"/>
                <w:kern w:val="28"/>
                <w:sz w:val="22"/>
                <w:szCs w:val="22"/>
                <w:lang w:val="en-US" w:eastAsia="en-US" w:bidi="ar-SA"/>
              </w:rPr>
              <w:t>is</w:t>
            </w:r>
            <w:r w:rsidRPr="008F022F">
              <w:rPr>
                <w:rFonts w:ascii="Times New Roman" w:eastAsia="Times New Roman" w:hAnsi="Times New Roman" w:cs="Times New Roman"/>
                <w:snapToGrid w:val="0"/>
                <w:kern w:val="28"/>
                <w:sz w:val="22"/>
                <w:szCs w:val="22"/>
                <w:lang w:val="en-US" w:eastAsia="en-US" w:bidi="ar-SA"/>
              </w:rPr>
              <w:t xml:space="preserve"> not in the proper location to supervise the day shift warning officers when the ballistic missile </w:t>
            </w:r>
            <w:r w:rsidR="000E7FCE">
              <w:rPr>
                <w:rFonts w:ascii="Times New Roman" w:eastAsia="Times New Roman" w:hAnsi="Times New Roman" w:cs="Times New Roman"/>
                <w:snapToGrid w:val="0"/>
                <w:kern w:val="28"/>
                <w:sz w:val="22"/>
                <w:szCs w:val="22"/>
                <w:lang w:val="en-US" w:eastAsia="en-US" w:bidi="ar-SA"/>
              </w:rPr>
              <w:t xml:space="preserve">preparedness </w:t>
            </w:r>
            <w:r w:rsidRPr="008F022F">
              <w:rPr>
                <w:rFonts w:ascii="Times New Roman" w:eastAsia="Times New Roman" w:hAnsi="Times New Roman" w:cs="Times New Roman"/>
                <w:snapToGrid w:val="0"/>
                <w:kern w:val="28"/>
                <w:sz w:val="22"/>
                <w:szCs w:val="22"/>
                <w:lang w:val="en-US" w:eastAsia="en-US" w:bidi="ar-SA"/>
              </w:rPr>
              <w:t xml:space="preserve">drill </w:t>
            </w:r>
            <w:r w:rsidRPr="008F022F" w:rsidR="00D85D04">
              <w:rPr>
                <w:rFonts w:ascii="Times New Roman" w:eastAsia="Times New Roman" w:hAnsi="Times New Roman" w:cs="Times New Roman"/>
                <w:snapToGrid w:val="0"/>
                <w:kern w:val="28"/>
                <w:sz w:val="22"/>
                <w:szCs w:val="22"/>
                <w:lang w:val="en-US" w:eastAsia="en-US" w:bidi="ar-SA"/>
              </w:rPr>
              <w:t>begins</w:t>
            </w:r>
            <w:r w:rsidRPr="008F022F">
              <w:rPr>
                <w:rFonts w:ascii="Times New Roman" w:eastAsia="Times New Roman" w:hAnsi="Times New Roman" w:cs="Times New Roman"/>
                <w:snapToGrid w:val="0"/>
                <w:kern w:val="28"/>
                <w:sz w:val="22"/>
                <w:szCs w:val="22"/>
                <w:lang w:val="en-US" w:eastAsia="en-US" w:bidi="ar-SA"/>
              </w:rPr>
              <w:t>.</w:t>
            </w:r>
            <w:r>
              <w:rPr>
                <w:rStyle w:val="FootnoteReference"/>
                <w:sz w:val="22"/>
                <w:szCs w:val="22"/>
              </w:rPr>
              <w:footnoteReference w:id="55"/>
            </w:r>
            <w:r w:rsidRPr="008F022F">
              <w:rPr>
                <w:rFonts w:ascii="Times New Roman" w:eastAsia="Times New Roman" w:hAnsi="Times New Roman" w:cs="Times New Roman"/>
                <w:snapToGrid w:val="0"/>
                <w:kern w:val="28"/>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736D7B" w:rsidP="00884C1C">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736D7B">
              <w:rPr>
                <w:rFonts w:ascii="Times New Roman" w:eastAsia="Times New Roman" w:hAnsi="Times New Roman" w:cs="Times New Roman"/>
                <w:snapToGrid w:val="0"/>
                <w:kern w:val="28"/>
                <w:sz w:val="22"/>
                <w:szCs w:val="22"/>
                <w:lang w:val="en-US" w:eastAsia="en-US" w:bidi="ar-SA"/>
              </w:rPr>
              <w:t>8:05</w:t>
            </w:r>
            <w:r w:rsidRPr="00736D7B" w:rsidR="00884C1C">
              <w:rPr>
                <w:rFonts w:ascii="Times New Roman" w:eastAsia="Times New Roman" w:hAnsi="Times New Roman" w:cs="Times New Roman"/>
                <w:snapToGrid w:val="0"/>
                <w:kern w:val="28"/>
                <w:sz w:val="22"/>
                <w:szCs w:val="22"/>
                <w:lang w:val="en-US" w:eastAsia="en-US" w:bidi="ar-SA"/>
              </w:rPr>
              <w:t xml:space="preserve"> </w:t>
            </w:r>
            <w:r w:rsidRPr="00736D7B">
              <w:rPr>
                <w:rFonts w:ascii="Times New Roman" w:eastAsia="Times New Roman" w:hAnsi="Times New Roman" w:cs="Times New Roman"/>
                <w:snapToGrid w:val="0"/>
                <w:kern w:val="28"/>
                <w:sz w:val="22"/>
                <w:szCs w:val="22"/>
                <w:lang w:val="en-US" w:eastAsia="en-US" w:bidi="ar-SA"/>
              </w:rPr>
              <w:t>a</w:t>
            </w:r>
            <w:r w:rsidRPr="00736D7B" w:rsidR="009511E9">
              <w:rPr>
                <w:rFonts w:ascii="Times New Roman" w:eastAsia="Times New Roman" w:hAnsi="Times New Roman" w:cs="Times New Roman"/>
                <w:snapToGrid w:val="0"/>
                <w:kern w:val="28"/>
                <w:sz w:val="22"/>
                <w:szCs w:val="22"/>
                <w:lang w:val="en-US" w:eastAsia="en-US" w:bidi="ar-SA"/>
              </w:rPr>
              <w:t>.</w:t>
            </w:r>
            <w:r w:rsidRPr="00736D7B">
              <w:rPr>
                <w:rFonts w:ascii="Times New Roman" w:eastAsia="Times New Roman" w:hAnsi="Times New Roman" w:cs="Times New Roman"/>
                <w:snapToGrid w:val="0"/>
                <w:kern w:val="28"/>
                <w:sz w:val="22"/>
                <w:szCs w:val="22"/>
                <w:lang w:val="en-US" w:eastAsia="en-US" w:bidi="ar-SA"/>
              </w:rPr>
              <w:t>m</w:t>
            </w:r>
            <w:r w:rsidRPr="00736D7B" w:rsidR="009511E9">
              <w:rPr>
                <w:rFonts w:ascii="Times New Roman" w:eastAsia="Times New Roman" w:hAnsi="Times New Roman" w:cs="Times New Roman"/>
                <w:snapToGrid w:val="0"/>
                <w:kern w:val="28"/>
                <w:sz w:val="22"/>
                <w:szCs w:val="22"/>
                <w:lang w:val="en-US" w:eastAsia="en-US" w:bidi="ar-SA"/>
              </w:rPr>
              <w:t>.</w:t>
            </w:r>
          </w:p>
        </w:tc>
        <w:tc>
          <w:tcPr>
            <w:tcW w:w="7915" w:type="dxa"/>
          </w:tcPr>
          <w:p w:rsidR="005E5838" w:rsidRPr="008F022F" w:rsidP="003E6A33">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HI-EMA’s midnight shift supervisor begins a no-notice ballistic missile </w:t>
            </w:r>
            <w:r w:rsidR="000E7FCE">
              <w:rPr>
                <w:rFonts w:ascii="Times New Roman" w:eastAsia="Times New Roman" w:hAnsi="Times New Roman" w:cs="Times New Roman"/>
                <w:snapToGrid w:val="0"/>
                <w:kern w:val="28"/>
                <w:sz w:val="22"/>
                <w:szCs w:val="22"/>
                <w:lang w:val="en-US" w:eastAsia="en-US" w:bidi="ar-SA"/>
              </w:rPr>
              <w:t xml:space="preserve">preparedness </w:t>
            </w:r>
            <w:r w:rsidRPr="008F022F">
              <w:rPr>
                <w:rFonts w:ascii="Times New Roman" w:eastAsia="Times New Roman" w:hAnsi="Times New Roman" w:cs="Times New Roman"/>
                <w:snapToGrid w:val="0"/>
                <w:kern w:val="28"/>
                <w:sz w:val="22"/>
                <w:szCs w:val="22"/>
                <w:lang w:val="en-US" w:eastAsia="en-US" w:bidi="ar-SA"/>
              </w:rPr>
              <w:t xml:space="preserve">drill with day shift officers by placing a call from a secure phone elsewhere in HI-EMA to the </w:t>
            </w:r>
            <w:r w:rsidRPr="008F022F" w:rsidR="00F80DAA">
              <w:rPr>
                <w:rFonts w:ascii="Times New Roman" w:eastAsia="Times New Roman" w:hAnsi="Times New Roman" w:cs="Times New Roman"/>
                <w:snapToGrid w:val="0"/>
                <w:kern w:val="28"/>
                <w:sz w:val="22"/>
                <w:szCs w:val="22"/>
                <w:lang w:val="en-US" w:eastAsia="en-US" w:bidi="ar-SA"/>
              </w:rPr>
              <w:t>State Warning Point</w:t>
            </w:r>
            <w:r w:rsidRPr="008F022F">
              <w:rPr>
                <w:rFonts w:ascii="Times New Roman" w:eastAsia="Times New Roman" w:hAnsi="Times New Roman" w:cs="Times New Roman"/>
                <w:snapToGrid w:val="0"/>
                <w:kern w:val="28"/>
                <w:sz w:val="22"/>
                <w:szCs w:val="22"/>
                <w:lang w:val="en-US" w:eastAsia="en-US" w:bidi="ar-SA"/>
              </w:rPr>
              <w:t xml:space="preserve">.  The recording that the midnight shift supervisor plays over the phone contains the text of an EAS message for a live ballistic missile alert, including the language, “this is not a drill,” instead of the </w:t>
            </w:r>
            <w:r w:rsidR="00374479">
              <w:rPr>
                <w:rFonts w:ascii="Times New Roman" w:eastAsia="Times New Roman" w:hAnsi="Times New Roman" w:cs="Times New Roman"/>
                <w:snapToGrid w:val="0"/>
                <w:kern w:val="28"/>
                <w:sz w:val="22"/>
                <w:szCs w:val="22"/>
                <w:lang w:val="en-US" w:eastAsia="en-US" w:bidi="ar-SA"/>
              </w:rPr>
              <w:t xml:space="preserve">language used </w:t>
            </w:r>
            <w:r w:rsidRPr="008F022F">
              <w:rPr>
                <w:rFonts w:ascii="Times New Roman" w:eastAsia="Times New Roman" w:hAnsi="Times New Roman" w:cs="Times New Roman"/>
                <w:snapToGrid w:val="0"/>
                <w:kern w:val="28"/>
                <w:sz w:val="22"/>
                <w:szCs w:val="22"/>
                <w:lang w:val="en-US" w:eastAsia="en-US" w:bidi="ar-SA"/>
              </w:rPr>
              <w:t xml:space="preserve">in HI-EMA’s standard operating procedure for this drill.  </w:t>
            </w:r>
            <w:r w:rsidRPr="008F022F" w:rsidR="007E119E">
              <w:rPr>
                <w:rFonts w:ascii="Times New Roman" w:eastAsia="Times New Roman" w:hAnsi="Times New Roman" w:cs="Times New Roman"/>
                <w:snapToGrid w:val="0"/>
                <w:kern w:val="28"/>
                <w:sz w:val="22"/>
                <w:szCs w:val="22"/>
                <w:lang w:val="en-US" w:eastAsia="en-US" w:bidi="ar-SA"/>
              </w:rPr>
              <w:t>Although the midnight shift officer’s recorded voice read</w:t>
            </w:r>
            <w:r w:rsidR="009D6425">
              <w:rPr>
                <w:rFonts w:ascii="Times New Roman" w:eastAsia="Times New Roman" w:hAnsi="Times New Roman" w:cs="Times New Roman"/>
                <w:snapToGrid w:val="0"/>
                <w:kern w:val="28"/>
                <w:sz w:val="22"/>
                <w:szCs w:val="22"/>
                <w:lang w:val="en-US" w:eastAsia="en-US" w:bidi="ar-SA"/>
              </w:rPr>
              <w:t>s</w:t>
            </w:r>
            <w:r w:rsidRPr="008F022F" w:rsidR="007E119E">
              <w:rPr>
                <w:rFonts w:ascii="Times New Roman" w:eastAsia="Times New Roman" w:hAnsi="Times New Roman" w:cs="Times New Roman"/>
                <w:snapToGrid w:val="0"/>
                <w:kern w:val="28"/>
                <w:sz w:val="22"/>
                <w:szCs w:val="22"/>
                <w:lang w:val="en-US" w:eastAsia="en-US" w:bidi="ar-SA"/>
              </w:rPr>
              <w:t>, “</w:t>
            </w:r>
            <w:r w:rsidR="005C0AEE">
              <w:rPr>
                <w:rFonts w:ascii="Times New Roman" w:eastAsia="Times New Roman" w:hAnsi="Times New Roman" w:cs="Times New Roman"/>
                <w:snapToGrid w:val="0"/>
                <w:kern w:val="28"/>
                <w:sz w:val="22"/>
                <w:szCs w:val="22"/>
                <w:lang w:val="en-US" w:eastAsia="en-US" w:bidi="ar-SA"/>
              </w:rPr>
              <w:t>E</w:t>
            </w:r>
            <w:r w:rsidRPr="008F022F" w:rsidR="007E119E">
              <w:rPr>
                <w:rFonts w:ascii="Times New Roman" w:eastAsia="Times New Roman" w:hAnsi="Times New Roman" w:cs="Times New Roman"/>
                <w:snapToGrid w:val="0"/>
                <w:kern w:val="28"/>
                <w:sz w:val="22"/>
                <w:szCs w:val="22"/>
                <w:lang w:val="en-US" w:eastAsia="en-US" w:bidi="ar-SA"/>
              </w:rPr>
              <w:t xml:space="preserve">xercise, </w:t>
            </w:r>
            <w:r w:rsidR="005C0AEE">
              <w:rPr>
                <w:rFonts w:ascii="Times New Roman" w:eastAsia="Times New Roman" w:hAnsi="Times New Roman" w:cs="Times New Roman"/>
                <w:snapToGrid w:val="0"/>
                <w:kern w:val="28"/>
                <w:sz w:val="22"/>
                <w:szCs w:val="22"/>
                <w:lang w:val="en-US" w:eastAsia="en-US" w:bidi="ar-SA"/>
              </w:rPr>
              <w:t>E</w:t>
            </w:r>
            <w:r w:rsidRPr="008F022F" w:rsidR="007E119E">
              <w:rPr>
                <w:rFonts w:ascii="Times New Roman" w:eastAsia="Times New Roman" w:hAnsi="Times New Roman" w:cs="Times New Roman"/>
                <w:snapToGrid w:val="0"/>
                <w:kern w:val="28"/>
                <w:sz w:val="22"/>
                <w:szCs w:val="22"/>
                <w:lang w:val="en-US" w:eastAsia="en-US" w:bidi="ar-SA"/>
              </w:rPr>
              <w:t xml:space="preserve">xercise, </w:t>
            </w:r>
            <w:r w:rsidR="005C0AEE">
              <w:rPr>
                <w:rFonts w:ascii="Times New Roman" w:eastAsia="Times New Roman" w:hAnsi="Times New Roman" w:cs="Times New Roman"/>
                <w:snapToGrid w:val="0"/>
                <w:kern w:val="28"/>
                <w:sz w:val="22"/>
                <w:szCs w:val="22"/>
                <w:lang w:val="en-US" w:eastAsia="en-US" w:bidi="ar-SA"/>
              </w:rPr>
              <w:t>E</w:t>
            </w:r>
            <w:r w:rsidRPr="008F022F" w:rsidR="007E119E">
              <w:rPr>
                <w:rFonts w:ascii="Times New Roman" w:eastAsia="Times New Roman" w:hAnsi="Times New Roman" w:cs="Times New Roman"/>
                <w:snapToGrid w:val="0"/>
                <w:kern w:val="28"/>
                <w:sz w:val="22"/>
                <w:szCs w:val="22"/>
                <w:lang w:val="en-US" w:eastAsia="en-US" w:bidi="ar-SA"/>
              </w:rPr>
              <w:t xml:space="preserve">xercise” at the beginning and end of the drill, using the </w:t>
            </w:r>
            <w:r w:rsidRPr="008F022F" w:rsidR="005D69E4">
              <w:rPr>
                <w:rFonts w:ascii="Times New Roman" w:eastAsia="Times New Roman" w:hAnsi="Times New Roman" w:cs="Times New Roman"/>
                <w:snapToGrid w:val="0"/>
                <w:kern w:val="28"/>
                <w:sz w:val="22"/>
                <w:szCs w:val="22"/>
                <w:lang w:val="en-US" w:eastAsia="en-US" w:bidi="ar-SA"/>
              </w:rPr>
              <w:t xml:space="preserve">phrase </w:t>
            </w:r>
            <w:r w:rsidRPr="008F022F" w:rsidR="007E119E">
              <w:rPr>
                <w:rFonts w:ascii="Times New Roman" w:eastAsia="Times New Roman" w:hAnsi="Times New Roman" w:cs="Times New Roman"/>
                <w:snapToGrid w:val="0"/>
                <w:kern w:val="28"/>
                <w:sz w:val="22"/>
                <w:szCs w:val="22"/>
                <w:lang w:val="en-US" w:eastAsia="en-US" w:bidi="ar-SA"/>
              </w:rPr>
              <w:t xml:space="preserve">“this is not a drill” was a deviation from the drill procedure.  In the midnight </w:t>
            </w:r>
            <w:r w:rsidR="00DE0920">
              <w:rPr>
                <w:rFonts w:ascii="Times New Roman" w:eastAsia="Times New Roman" w:hAnsi="Times New Roman" w:cs="Times New Roman"/>
                <w:snapToGrid w:val="0"/>
                <w:kern w:val="28"/>
                <w:sz w:val="22"/>
                <w:szCs w:val="22"/>
                <w:lang w:val="en-US" w:eastAsia="en-US" w:bidi="ar-SA"/>
              </w:rPr>
              <w:t xml:space="preserve">shift </w:t>
            </w:r>
            <w:r w:rsidRPr="008F022F" w:rsidR="007E119E">
              <w:rPr>
                <w:rFonts w:ascii="Times New Roman" w:eastAsia="Times New Roman" w:hAnsi="Times New Roman" w:cs="Times New Roman"/>
                <w:snapToGrid w:val="0"/>
                <w:kern w:val="28"/>
                <w:sz w:val="22"/>
                <w:szCs w:val="22"/>
                <w:lang w:val="en-US" w:eastAsia="en-US" w:bidi="ar-SA"/>
              </w:rPr>
              <w:t xml:space="preserve">supervisor’s analysis, the deviation </w:t>
            </w:r>
            <w:r w:rsidR="00C5433A">
              <w:rPr>
                <w:rFonts w:ascii="Times New Roman" w:eastAsia="Times New Roman" w:hAnsi="Times New Roman" w:cs="Times New Roman"/>
                <w:snapToGrid w:val="0"/>
                <w:kern w:val="28"/>
                <w:sz w:val="22"/>
                <w:szCs w:val="22"/>
                <w:lang w:val="en-US" w:eastAsia="en-US" w:bidi="ar-SA"/>
              </w:rPr>
              <w:t xml:space="preserve">is </w:t>
            </w:r>
            <w:r w:rsidRPr="008F022F" w:rsidR="007E119E">
              <w:rPr>
                <w:rFonts w:ascii="Times New Roman" w:eastAsia="Times New Roman" w:hAnsi="Times New Roman" w:cs="Times New Roman"/>
                <w:snapToGrid w:val="0"/>
                <w:kern w:val="28"/>
                <w:sz w:val="22"/>
                <w:szCs w:val="22"/>
                <w:lang w:val="en-US" w:eastAsia="en-US" w:bidi="ar-SA"/>
              </w:rPr>
              <w:t>not material because the phrase “</w:t>
            </w:r>
            <w:r w:rsidR="005C0AEE">
              <w:rPr>
                <w:rFonts w:ascii="Times New Roman" w:eastAsia="Times New Roman" w:hAnsi="Times New Roman" w:cs="Times New Roman"/>
                <w:snapToGrid w:val="0"/>
                <w:kern w:val="28"/>
                <w:sz w:val="22"/>
                <w:szCs w:val="22"/>
                <w:lang w:val="en-US" w:eastAsia="en-US" w:bidi="ar-SA"/>
              </w:rPr>
              <w:t>E</w:t>
            </w:r>
            <w:r w:rsidRPr="008F022F" w:rsidR="007E119E">
              <w:rPr>
                <w:rFonts w:ascii="Times New Roman" w:eastAsia="Times New Roman" w:hAnsi="Times New Roman" w:cs="Times New Roman"/>
                <w:snapToGrid w:val="0"/>
                <w:kern w:val="28"/>
                <w:sz w:val="22"/>
                <w:szCs w:val="22"/>
                <w:lang w:val="en-US" w:eastAsia="en-US" w:bidi="ar-SA"/>
              </w:rPr>
              <w:t xml:space="preserve">xercise, </w:t>
            </w:r>
            <w:r w:rsidR="005C0AEE">
              <w:rPr>
                <w:rFonts w:ascii="Times New Roman" w:eastAsia="Times New Roman" w:hAnsi="Times New Roman" w:cs="Times New Roman"/>
                <w:snapToGrid w:val="0"/>
                <w:kern w:val="28"/>
                <w:sz w:val="22"/>
                <w:szCs w:val="22"/>
                <w:lang w:val="en-US" w:eastAsia="en-US" w:bidi="ar-SA"/>
              </w:rPr>
              <w:t>E</w:t>
            </w:r>
            <w:r w:rsidRPr="008F022F" w:rsidR="007E119E">
              <w:rPr>
                <w:rFonts w:ascii="Times New Roman" w:eastAsia="Times New Roman" w:hAnsi="Times New Roman" w:cs="Times New Roman"/>
                <w:snapToGrid w:val="0"/>
                <w:kern w:val="28"/>
                <w:sz w:val="22"/>
                <w:szCs w:val="22"/>
                <w:lang w:val="en-US" w:eastAsia="en-US" w:bidi="ar-SA"/>
              </w:rPr>
              <w:t xml:space="preserve">xercise, </w:t>
            </w:r>
            <w:r w:rsidR="005C0AEE">
              <w:rPr>
                <w:rFonts w:ascii="Times New Roman" w:eastAsia="Times New Roman" w:hAnsi="Times New Roman" w:cs="Times New Roman"/>
                <w:snapToGrid w:val="0"/>
                <w:kern w:val="28"/>
                <w:sz w:val="22"/>
                <w:szCs w:val="22"/>
                <w:lang w:val="en-US" w:eastAsia="en-US" w:bidi="ar-SA"/>
              </w:rPr>
              <w:t>E</w:t>
            </w:r>
            <w:r w:rsidRPr="008F022F" w:rsidR="007E119E">
              <w:rPr>
                <w:rFonts w:ascii="Times New Roman" w:eastAsia="Times New Roman" w:hAnsi="Times New Roman" w:cs="Times New Roman"/>
                <w:snapToGrid w:val="0"/>
                <w:kern w:val="28"/>
                <w:sz w:val="22"/>
                <w:szCs w:val="22"/>
                <w:lang w:val="en-US" w:eastAsia="en-US" w:bidi="ar-SA"/>
              </w:rPr>
              <w:t xml:space="preserve">xercise” indicates that the event is only a drill.  </w:t>
            </w:r>
          </w:p>
          <w:p w:rsidR="00E9413C" w:rsidRPr="008F022F" w:rsidP="00900A17">
            <w:pPr>
              <w:pStyle w:val="Default"/>
              <w:autoSpaceDE w:val="0"/>
              <w:autoSpaceDN w:val="0"/>
              <w:adjustRightInd w:val="0"/>
              <w:spacing w:after="0" w:line="240" w:lineRule="auto"/>
              <w:rPr>
                <w:rStyle w:val="DefaultParagraphFont"/>
                <w:rFonts w:ascii="Arial" w:eastAsia="Times New Roman" w:hAnsi="Arial" w:cs="Arial"/>
                <w:color w:val="000000"/>
                <w:sz w:val="22"/>
                <w:szCs w:val="22"/>
                <w:lang w:val="en-US" w:eastAsia="en-US" w:bidi="ar-SA"/>
              </w:rPr>
            </w:pPr>
            <w:r w:rsidRPr="008F022F">
              <w:rPr>
                <w:rFonts w:ascii="Times New Roman" w:hAnsi="Times New Roman" w:eastAsiaTheme="minorHAnsi" w:cs="Times New Roman"/>
                <w:color w:val="000000"/>
                <w:sz w:val="22"/>
                <w:szCs w:val="22"/>
                <w:lang w:val="en-US" w:eastAsia="en-US" w:bidi="ar-SA"/>
              </w:rPr>
              <w:t>While the other warning officers understand that this is a drill, the warning officer at the alert origination terminal believe</w:t>
            </w:r>
            <w:r w:rsidRPr="008F022F" w:rsidR="00D85D04">
              <w:rPr>
                <w:rFonts w:ascii="Times New Roman" w:hAnsi="Times New Roman" w:eastAsiaTheme="minorHAnsi" w:cs="Times New Roman"/>
                <w:color w:val="000000"/>
                <w:sz w:val="22"/>
                <w:szCs w:val="22"/>
                <w:lang w:val="en-US" w:eastAsia="en-US" w:bidi="ar-SA"/>
              </w:rPr>
              <w:t xml:space="preserve">s </w:t>
            </w:r>
            <w:r w:rsidRPr="008F022F">
              <w:rPr>
                <w:rFonts w:ascii="Times New Roman" w:hAnsi="Times New Roman" w:eastAsiaTheme="minorHAnsi" w:cs="Times New Roman"/>
                <w:color w:val="000000"/>
                <w:sz w:val="22"/>
                <w:szCs w:val="22"/>
                <w:lang w:val="en-US" w:eastAsia="en-US" w:bidi="ar-SA"/>
              </w:rPr>
              <w:t xml:space="preserve">that this </w:t>
            </w:r>
            <w:r w:rsidR="00C5433A">
              <w:rPr>
                <w:rFonts w:ascii="Times New Roman" w:hAnsi="Times New Roman" w:eastAsiaTheme="minorHAnsi" w:cs="Times New Roman"/>
                <w:color w:val="000000"/>
                <w:sz w:val="22"/>
                <w:szCs w:val="22"/>
                <w:lang w:val="en-US" w:eastAsia="en-US" w:bidi="ar-SA"/>
              </w:rPr>
              <w:t>i</w:t>
            </w:r>
            <w:r w:rsidRPr="008F022F">
              <w:rPr>
                <w:rFonts w:ascii="Times New Roman" w:hAnsi="Times New Roman" w:eastAsiaTheme="minorHAnsi" w:cs="Times New Roman"/>
                <w:color w:val="000000"/>
                <w:sz w:val="22"/>
                <w:szCs w:val="22"/>
                <w:lang w:val="en-US" w:eastAsia="en-US" w:bidi="ar-SA"/>
              </w:rPr>
              <w:t>s a real emergency, not a drill.</w:t>
            </w:r>
            <w:r>
              <w:rPr>
                <w:rStyle w:val="FootnoteReference"/>
                <w:sz w:val="22"/>
                <w:szCs w:val="22"/>
              </w:rPr>
              <w:footnoteReference w:id="56"/>
            </w:r>
            <w:r w:rsidRPr="008F022F">
              <w:rPr>
                <w:rFonts w:ascii="Arial" w:eastAsia="Times New Roman" w:hAnsi="Arial" w:cs="Arial"/>
                <w:color w:val="000000"/>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736D7B" w:rsidP="00124617">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736D7B">
              <w:rPr>
                <w:rFonts w:ascii="Times New Roman" w:eastAsia="Times New Roman" w:hAnsi="Times New Roman" w:cs="Times New Roman"/>
                <w:snapToGrid w:val="0"/>
                <w:kern w:val="28"/>
                <w:sz w:val="22"/>
                <w:szCs w:val="22"/>
                <w:lang w:val="en-US" w:eastAsia="en-US" w:bidi="ar-SA"/>
              </w:rPr>
              <w:t>8:</w:t>
            </w:r>
            <w:r w:rsidRPr="00736D7B" w:rsidR="00124617">
              <w:rPr>
                <w:rFonts w:ascii="Times New Roman" w:eastAsia="Times New Roman" w:hAnsi="Times New Roman" w:cs="Times New Roman"/>
                <w:snapToGrid w:val="0"/>
                <w:kern w:val="28"/>
                <w:sz w:val="22"/>
                <w:szCs w:val="22"/>
                <w:lang w:val="en-US" w:eastAsia="en-US" w:bidi="ar-SA"/>
              </w:rPr>
              <w:t xml:space="preserve">07 </w:t>
            </w:r>
            <w:r w:rsidRPr="00736D7B">
              <w:rPr>
                <w:rFonts w:ascii="Times New Roman" w:eastAsia="Times New Roman" w:hAnsi="Times New Roman" w:cs="Times New Roman"/>
                <w:snapToGrid w:val="0"/>
                <w:kern w:val="28"/>
                <w:sz w:val="22"/>
                <w:szCs w:val="22"/>
                <w:lang w:val="en-US" w:eastAsia="en-US" w:bidi="ar-SA"/>
              </w:rPr>
              <w:t>a</w:t>
            </w:r>
            <w:r w:rsidRPr="00736D7B" w:rsidR="009511E9">
              <w:rPr>
                <w:rFonts w:ascii="Times New Roman" w:eastAsia="Times New Roman" w:hAnsi="Times New Roman" w:cs="Times New Roman"/>
                <w:snapToGrid w:val="0"/>
                <w:kern w:val="28"/>
                <w:sz w:val="22"/>
                <w:szCs w:val="22"/>
                <w:lang w:val="en-US" w:eastAsia="en-US" w:bidi="ar-SA"/>
              </w:rPr>
              <w:t>.</w:t>
            </w:r>
            <w:r w:rsidRPr="00736D7B">
              <w:rPr>
                <w:rFonts w:ascii="Times New Roman" w:eastAsia="Times New Roman" w:hAnsi="Times New Roman" w:cs="Times New Roman"/>
                <w:snapToGrid w:val="0"/>
                <w:kern w:val="28"/>
                <w:sz w:val="22"/>
                <w:szCs w:val="22"/>
                <w:lang w:val="en-US" w:eastAsia="en-US" w:bidi="ar-SA"/>
              </w:rPr>
              <w:t>m</w:t>
            </w:r>
            <w:r w:rsidRPr="00736D7B" w:rsidR="009511E9">
              <w:rPr>
                <w:rFonts w:ascii="Times New Roman" w:eastAsia="Times New Roman" w:hAnsi="Times New Roman" w:cs="Times New Roman"/>
                <w:snapToGrid w:val="0"/>
                <w:kern w:val="28"/>
                <w:sz w:val="22"/>
                <w:szCs w:val="22"/>
                <w:lang w:val="en-US" w:eastAsia="en-US" w:bidi="ar-SA"/>
              </w:rPr>
              <w:t>.</w:t>
            </w:r>
            <w:r w:rsidRPr="00736D7B">
              <w:rPr>
                <w:rFonts w:ascii="Times New Roman" w:eastAsia="Times New Roman" w:hAnsi="Times New Roman" w:cs="Times New Roman"/>
                <w:snapToGrid w:val="0"/>
                <w:kern w:val="28"/>
                <w:sz w:val="22"/>
                <w:szCs w:val="22"/>
                <w:lang w:val="en-US" w:eastAsia="en-US" w:bidi="ar-SA"/>
              </w:rPr>
              <w:t xml:space="preserve"> </w:t>
            </w:r>
          </w:p>
        </w:tc>
        <w:tc>
          <w:tcPr>
            <w:tcW w:w="7915" w:type="dxa"/>
          </w:tcPr>
          <w:p w:rsidR="00E9413C"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Pr>
                <w:rFonts w:ascii="Times New Roman" w:eastAsia="Times New Roman" w:hAnsi="Times New Roman" w:cs="Times New Roman"/>
                <w:snapToGrid w:val="0"/>
                <w:kern w:val="28"/>
                <w:sz w:val="22"/>
                <w:szCs w:val="22"/>
                <w:lang w:val="en-US" w:eastAsia="en-US" w:bidi="ar-SA"/>
              </w:rPr>
              <w:t>The</w:t>
            </w:r>
            <w:r w:rsidRPr="008F022F">
              <w:rPr>
                <w:rFonts w:ascii="Times New Roman" w:eastAsia="Times New Roman" w:hAnsi="Times New Roman" w:cs="Times New Roman"/>
                <w:snapToGrid w:val="0"/>
                <w:kern w:val="28"/>
                <w:sz w:val="22"/>
                <w:szCs w:val="22"/>
                <w:lang w:val="en-US" w:eastAsia="en-US" w:bidi="ar-SA"/>
              </w:rPr>
              <w:t xml:space="preserve"> HI-EMA day shift warning officer</w:t>
            </w:r>
            <w:r>
              <w:rPr>
                <w:rFonts w:ascii="Times New Roman" w:eastAsia="Times New Roman" w:hAnsi="Times New Roman" w:cs="Times New Roman"/>
                <w:snapToGrid w:val="0"/>
                <w:kern w:val="28"/>
                <w:sz w:val="22"/>
                <w:szCs w:val="22"/>
                <w:lang w:val="en-US" w:eastAsia="en-US" w:bidi="ar-SA"/>
              </w:rPr>
              <w:t xml:space="preserve"> at the alert origination terminal</w:t>
            </w:r>
            <w:r w:rsidRPr="008F022F">
              <w:rPr>
                <w:rFonts w:ascii="Times New Roman" w:eastAsia="Times New Roman" w:hAnsi="Times New Roman" w:cs="Times New Roman"/>
                <w:snapToGrid w:val="0"/>
                <w:kern w:val="28"/>
                <w:sz w:val="22"/>
                <w:szCs w:val="22"/>
                <w:lang w:val="en-US" w:eastAsia="en-US" w:bidi="ar-SA"/>
              </w:rPr>
              <w:t xml:space="preserve"> responds to this call by transmitting a live incoming ballistic missile alert to the State of Hawaii.</w:t>
            </w:r>
            <w:r>
              <w:rPr>
                <w:rStyle w:val="FootnoteReference"/>
                <w:sz w:val="22"/>
                <w:szCs w:val="22"/>
              </w:rPr>
              <w:footnoteReference w:id="57"/>
            </w:r>
            <w:r w:rsidRPr="008F022F">
              <w:rPr>
                <w:rFonts w:ascii="Times New Roman" w:eastAsia="Times New Roman" w:hAnsi="Times New Roman" w:cs="Times New Roman"/>
                <w:snapToGrid w:val="0"/>
                <w:kern w:val="28"/>
                <w:sz w:val="22"/>
                <w:szCs w:val="22"/>
                <w:lang w:val="en-US" w:eastAsia="en-US" w:bidi="ar-SA"/>
              </w:rPr>
              <w:t xml:space="preserve">  In doing so, the day shift warning officer selects the template for a live alert from the drop-down menu.  When the alert origination software prompts the warning officer to confirm whether </w:t>
            </w:r>
            <w:r w:rsidR="00536D6B">
              <w:rPr>
                <w:rFonts w:ascii="Times New Roman" w:eastAsia="Times New Roman" w:hAnsi="Times New Roman" w:cs="Times New Roman"/>
                <w:snapToGrid w:val="0"/>
                <w:kern w:val="28"/>
                <w:sz w:val="22"/>
                <w:szCs w:val="22"/>
                <w:lang w:val="en-US" w:eastAsia="en-US" w:bidi="ar-SA"/>
              </w:rPr>
              <w:t>the officer</w:t>
            </w:r>
            <w:r w:rsidRPr="008F022F" w:rsidR="00536D6B">
              <w:rPr>
                <w:rFonts w:ascii="Times New Roman" w:eastAsia="Times New Roman" w:hAnsi="Times New Roman" w:cs="Times New Roman"/>
                <w:snapToGrid w:val="0"/>
                <w:kern w:val="28"/>
                <w:sz w:val="22"/>
                <w:szCs w:val="22"/>
                <w:lang w:val="en-US" w:eastAsia="en-US" w:bidi="ar-SA"/>
              </w:rPr>
              <w:t xml:space="preserve"> </w:t>
            </w:r>
            <w:r w:rsidRPr="008F022F">
              <w:rPr>
                <w:rFonts w:ascii="Times New Roman" w:eastAsia="Times New Roman" w:hAnsi="Times New Roman" w:cs="Times New Roman"/>
                <w:snapToGrid w:val="0"/>
                <w:kern w:val="28"/>
                <w:sz w:val="22"/>
                <w:szCs w:val="22"/>
                <w:lang w:val="en-US" w:eastAsia="en-US" w:bidi="ar-SA"/>
              </w:rPr>
              <w:t>want</w:t>
            </w:r>
            <w:r w:rsidR="00536D6B">
              <w:rPr>
                <w:rFonts w:ascii="Times New Roman" w:eastAsia="Times New Roman" w:hAnsi="Times New Roman" w:cs="Times New Roman"/>
                <w:snapToGrid w:val="0"/>
                <w:kern w:val="28"/>
                <w:sz w:val="22"/>
                <w:szCs w:val="22"/>
                <w:lang w:val="en-US" w:eastAsia="en-US" w:bidi="ar-SA"/>
              </w:rPr>
              <w:t>s</w:t>
            </w:r>
            <w:r w:rsidRPr="008F022F">
              <w:rPr>
                <w:rFonts w:ascii="Times New Roman" w:eastAsia="Times New Roman" w:hAnsi="Times New Roman" w:cs="Times New Roman"/>
                <w:snapToGrid w:val="0"/>
                <w:kern w:val="28"/>
                <w:sz w:val="22"/>
                <w:szCs w:val="22"/>
                <w:lang w:val="en-US" w:eastAsia="en-US" w:bidi="ar-SA"/>
              </w:rPr>
              <w:t xml:space="preserve"> to send the message, the prompt reads, “Are you sure that you want to send this Alert?”  The prompt contains the same message, irrespective of whether the message is a test or an alert, and it does not offer the officer an opportunity to review the message text that would be sent.</w:t>
            </w:r>
          </w:p>
          <w:p w:rsidR="002F24A2"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Pr>
                <w:rFonts w:ascii="Times New Roman" w:eastAsia="Times New Roman" w:hAnsi="Times New Roman" w:cs="Times New Roman"/>
                <w:snapToGrid w:val="0"/>
                <w:kern w:val="28"/>
                <w:sz w:val="22"/>
                <w:szCs w:val="22"/>
                <w:lang w:val="en-US" w:eastAsia="en-US" w:bidi="ar-SA"/>
              </w:rPr>
              <w:t>Members of the public begin to receive the false alert</w:t>
            </w:r>
            <w:r w:rsidR="00B10CBE">
              <w:rPr>
                <w:rFonts w:ascii="Times New Roman" w:eastAsia="Times New Roman" w:hAnsi="Times New Roman" w:cs="Times New Roman"/>
                <w:snapToGrid w:val="0"/>
                <w:kern w:val="28"/>
                <w:sz w:val="22"/>
                <w:szCs w:val="22"/>
                <w:lang w:val="en-US" w:eastAsia="en-US" w:bidi="ar-SA"/>
              </w:rPr>
              <w:t xml:space="preserve"> over EAS and WEA</w:t>
            </w:r>
            <w:r>
              <w:rPr>
                <w:rFonts w:ascii="Times New Roman" w:eastAsia="Times New Roman" w:hAnsi="Times New Roman" w:cs="Times New Roman"/>
                <w:snapToGrid w:val="0"/>
                <w:kern w:val="28"/>
                <w:sz w:val="22"/>
                <w:szCs w:val="22"/>
                <w:lang w:val="en-US" w:eastAsia="en-US" w:bidi="ar-SA"/>
              </w:rPr>
              <w:t>.</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9511E9" w:rsidP="008C0C77">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736D7B">
              <w:rPr>
                <w:rFonts w:ascii="Times New Roman" w:eastAsia="Times New Roman" w:hAnsi="Times New Roman" w:cs="Times New Roman"/>
                <w:snapToGrid w:val="0"/>
                <w:kern w:val="28"/>
                <w:sz w:val="22"/>
                <w:szCs w:val="22"/>
                <w:lang w:val="en-US" w:eastAsia="en-US" w:bidi="ar-SA"/>
              </w:rPr>
              <w:t>8:</w:t>
            </w:r>
            <w:r w:rsidRPr="0005648A">
              <w:rPr>
                <w:rFonts w:ascii="Times New Roman" w:eastAsia="Times New Roman" w:hAnsi="Times New Roman" w:cs="Times New Roman"/>
                <w:snapToGrid w:val="0"/>
                <w:kern w:val="28"/>
                <w:sz w:val="22"/>
                <w:szCs w:val="22"/>
                <w:lang w:val="en-US" w:eastAsia="en-US" w:bidi="ar-SA"/>
              </w:rPr>
              <w:t>0</w:t>
            </w:r>
            <w:r w:rsidRPr="0005648A" w:rsidR="00293C65">
              <w:rPr>
                <w:rFonts w:ascii="Times New Roman" w:eastAsia="Times New Roman" w:hAnsi="Times New Roman" w:cs="Times New Roman"/>
                <w:snapToGrid w:val="0"/>
                <w:kern w:val="28"/>
                <w:sz w:val="22"/>
                <w:szCs w:val="22"/>
                <w:lang w:val="en-US" w:eastAsia="en-US" w:bidi="ar-SA"/>
              </w:rPr>
              <w:t>8</w:t>
            </w:r>
            <w:r w:rsidRPr="0005648A">
              <w:rPr>
                <w:rFonts w:ascii="Times New Roman" w:eastAsia="Times New Roman" w:hAnsi="Times New Roman" w:cs="Times New Roman"/>
                <w:snapToGrid w:val="0"/>
                <w:kern w:val="28"/>
                <w:sz w:val="22"/>
                <w:szCs w:val="22"/>
                <w:lang w:val="en-US" w:eastAsia="en-US" w:bidi="ar-SA"/>
              </w:rPr>
              <w:t xml:space="preserve"> </w:t>
            </w:r>
            <w:r w:rsidRPr="0005648A">
              <w:rPr>
                <w:rFonts w:ascii="Times New Roman" w:eastAsia="Times New Roman" w:hAnsi="Times New Roman" w:cs="Times New Roman"/>
                <w:snapToGrid w:val="0"/>
                <w:kern w:val="28"/>
                <w:sz w:val="20"/>
                <w:szCs w:val="22"/>
                <w:lang w:val="en-US" w:eastAsia="en-US" w:bidi="ar-SA"/>
              </w:rPr>
              <w:t>a</w:t>
            </w:r>
            <w:r w:rsidRPr="0005648A" w:rsidR="009511E9">
              <w:rPr>
                <w:rFonts w:ascii="Times New Roman" w:eastAsia="Times New Roman" w:hAnsi="Times New Roman" w:cs="Times New Roman"/>
                <w:snapToGrid w:val="0"/>
                <w:kern w:val="28"/>
                <w:sz w:val="20"/>
                <w:szCs w:val="22"/>
                <w:lang w:val="en-US" w:eastAsia="en-US" w:bidi="ar-SA"/>
              </w:rPr>
              <w:t>.</w:t>
            </w:r>
            <w:r w:rsidRPr="0005648A">
              <w:rPr>
                <w:rFonts w:ascii="Times New Roman" w:eastAsia="Times New Roman" w:hAnsi="Times New Roman" w:cs="Times New Roman"/>
                <w:snapToGrid w:val="0"/>
                <w:kern w:val="28"/>
                <w:sz w:val="20"/>
                <w:szCs w:val="22"/>
                <w:lang w:val="en-US" w:eastAsia="en-US" w:bidi="ar-SA"/>
              </w:rPr>
              <w:t>m</w:t>
            </w:r>
            <w:r w:rsidRPr="0005648A" w:rsidR="009511E9">
              <w:rPr>
                <w:rFonts w:ascii="Times New Roman" w:eastAsia="Times New Roman" w:hAnsi="Times New Roman" w:cs="Times New Roman"/>
                <w:snapToGrid w:val="0"/>
                <w:kern w:val="28"/>
                <w:sz w:val="20"/>
                <w:szCs w:val="22"/>
                <w:lang w:val="en-US" w:eastAsia="en-US" w:bidi="ar-SA"/>
              </w:rPr>
              <w:t>.</w:t>
            </w:r>
            <w:r w:rsidRPr="009511E9" w:rsidR="00293C65">
              <w:rPr>
                <w:rFonts w:ascii="Times New Roman" w:eastAsia="Times New Roman" w:hAnsi="Times New Roman" w:cs="Times New Roman"/>
                <w:snapToGrid w:val="0"/>
                <w:kern w:val="28"/>
                <w:sz w:val="22"/>
                <w:szCs w:val="22"/>
                <w:lang w:val="en-US" w:eastAsia="en-US" w:bidi="ar-SA"/>
              </w:rPr>
              <w:t xml:space="preserve"> </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The mobile device of the </w:t>
            </w:r>
            <w:r w:rsidRPr="008F022F" w:rsidR="006550D3">
              <w:rPr>
                <w:rFonts w:ascii="Times New Roman" w:eastAsia="Times New Roman" w:hAnsi="Times New Roman" w:cs="Times New Roman"/>
                <w:snapToGrid w:val="0"/>
                <w:kern w:val="28"/>
                <w:sz w:val="22"/>
                <w:szCs w:val="22"/>
                <w:lang w:val="en-US" w:eastAsia="en-US" w:bidi="ar-SA"/>
              </w:rPr>
              <w:t>State Warning Point</w:t>
            </w:r>
            <w:r w:rsidR="00FE0180">
              <w:rPr>
                <w:rFonts w:ascii="Times New Roman" w:eastAsia="Times New Roman" w:hAnsi="Times New Roman" w:cs="Times New Roman"/>
                <w:snapToGrid w:val="0"/>
                <w:kern w:val="28"/>
                <w:sz w:val="22"/>
                <w:szCs w:val="22"/>
                <w:lang w:val="en-US" w:eastAsia="en-US" w:bidi="ar-SA"/>
              </w:rPr>
              <w:t xml:space="preserve"> officer who triggered the false alert</w:t>
            </w:r>
            <w:r w:rsidRPr="008F022F" w:rsidR="006550D3">
              <w:rPr>
                <w:rFonts w:ascii="Times New Roman" w:eastAsia="Times New Roman" w:hAnsi="Times New Roman" w:cs="Times New Roman"/>
                <w:snapToGrid w:val="0"/>
                <w:kern w:val="28"/>
                <w:sz w:val="22"/>
                <w:szCs w:val="22"/>
                <w:lang w:val="en-US" w:eastAsia="en-US" w:bidi="ar-SA"/>
              </w:rPr>
              <w:t xml:space="preserve"> receiv</w:t>
            </w:r>
            <w:r w:rsidR="0039459B">
              <w:rPr>
                <w:rFonts w:ascii="Times New Roman" w:eastAsia="Times New Roman" w:hAnsi="Times New Roman" w:cs="Times New Roman"/>
                <w:snapToGrid w:val="0"/>
                <w:kern w:val="28"/>
                <w:sz w:val="22"/>
                <w:szCs w:val="22"/>
                <w:lang w:val="en-US" w:eastAsia="en-US" w:bidi="ar-SA"/>
              </w:rPr>
              <w:t>es</w:t>
            </w:r>
            <w:r w:rsidRPr="008F022F">
              <w:rPr>
                <w:rFonts w:ascii="Times New Roman" w:eastAsia="Times New Roman" w:hAnsi="Times New Roman" w:cs="Times New Roman"/>
                <w:snapToGrid w:val="0"/>
                <w:kern w:val="28"/>
                <w:sz w:val="22"/>
                <w:szCs w:val="22"/>
                <w:lang w:val="en-US" w:eastAsia="en-US" w:bidi="ar-SA"/>
              </w:rPr>
              <w:t xml:space="preserve"> </w:t>
            </w:r>
            <w:r w:rsidR="00FE0180">
              <w:rPr>
                <w:rFonts w:ascii="Times New Roman" w:eastAsia="Times New Roman" w:hAnsi="Times New Roman" w:cs="Times New Roman"/>
                <w:snapToGrid w:val="0"/>
                <w:kern w:val="28"/>
                <w:sz w:val="22"/>
                <w:szCs w:val="22"/>
                <w:lang w:val="en-US" w:eastAsia="en-US" w:bidi="ar-SA"/>
              </w:rPr>
              <w:t xml:space="preserve">the </w:t>
            </w:r>
            <w:r w:rsidRPr="008F022F" w:rsidR="006550D3">
              <w:rPr>
                <w:rFonts w:ascii="Times New Roman" w:eastAsia="Times New Roman" w:hAnsi="Times New Roman" w:cs="Times New Roman"/>
                <w:snapToGrid w:val="0"/>
                <w:kern w:val="28"/>
                <w:sz w:val="22"/>
                <w:szCs w:val="22"/>
                <w:lang w:val="en-US" w:eastAsia="en-US" w:bidi="ar-SA"/>
              </w:rPr>
              <w:t>WEA alert</w:t>
            </w:r>
            <w:r w:rsidRPr="008F022F">
              <w:rPr>
                <w:rFonts w:ascii="Times New Roman" w:eastAsia="Times New Roman" w:hAnsi="Times New Roman" w:cs="Times New Roman"/>
                <w:snapToGrid w:val="0"/>
                <w:kern w:val="28"/>
                <w:sz w:val="22"/>
                <w:szCs w:val="22"/>
                <w:lang w:val="en-US" w:eastAsia="en-US" w:bidi="ar-SA"/>
              </w:rPr>
              <w:t>.</w:t>
            </w:r>
            <w:r>
              <w:rPr>
                <w:rStyle w:val="FootnoteReference"/>
                <w:sz w:val="22"/>
                <w:szCs w:val="22"/>
              </w:rPr>
              <w:footnoteReference w:id="58"/>
            </w:r>
            <w:r w:rsidRPr="008F022F" w:rsidR="00293C65">
              <w:rPr>
                <w:rFonts w:ascii="Times New Roman" w:eastAsia="Times New Roman" w:hAnsi="Times New Roman" w:cs="Times New Roman"/>
                <w:snapToGrid w:val="0"/>
                <w:kern w:val="28"/>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AE2DE0"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0"/>
                <w:szCs w:val="22"/>
                <w:lang w:val="en-US" w:eastAsia="en-US" w:bidi="ar-SA"/>
              </w:rPr>
            </w:pPr>
            <w:r w:rsidRPr="00AE2DE0">
              <w:rPr>
                <w:rFonts w:ascii="Times New Roman" w:eastAsia="Times New Roman" w:hAnsi="Times New Roman" w:cs="Times New Roman"/>
                <w:snapToGrid w:val="0"/>
                <w:kern w:val="28"/>
                <w:sz w:val="22"/>
                <w:szCs w:val="22"/>
                <w:lang w:val="en-US" w:eastAsia="en-US" w:bidi="ar-SA"/>
              </w:rPr>
              <w:t>8:09 a</w:t>
            </w:r>
            <w:r w:rsidR="009511E9">
              <w:rPr>
                <w:rFonts w:ascii="Times New Roman" w:eastAsia="Times New Roman" w:hAnsi="Times New Roman" w:cs="Times New Roman"/>
                <w:snapToGrid w:val="0"/>
                <w:kern w:val="28"/>
                <w:sz w:val="22"/>
                <w:szCs w:val="22"/>
                <w:lang w:val="en-US" w:eastAsia="en-US" w:bidi="ar-SA"/>
              </w:rPr>
              <w:t>.</w:t>
            </w:r>
            <w:r w:rsidRPr="00AE2DE0">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AE2DE0" w:rsidRPr="00512401"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State Adjutant Major General Logan notifies Hawaii Governor David Ige that HI-EMA has transmitted a false alert.</w:t>
            </w:r>
            <w:r>
              <w:rPr>
                <w:rStyle w:val="FootnoteReference"/>
                <w:sz w:val="22"/>
                <w:szCs w:val="22"/>
              </w:rPr>
              <w:footnoteReference w:id="59"/>
            </w:r>
            <w:r w:rsidRPr="008F022F">
              <w:rPr>
                <w:rFonts w:ascii="Times New Roman" w:eastAsia="Times New Roman" w:hAnsi="Times New Roman" w:cs="Times New Roman"/>
                <w:snapToGrid w:val="0"/>
                <w:kern w:val="28"/>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8:10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State Adjutant Major General Logan communicates to PACOM that there was no missile launch, confirming what PACOM already knew. </w:t>
            </w:r>
          </w:p>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HI-EMA notifies the Honolulu police department that there was no missile launch.</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9511E9" w:rsidP="00BD704E">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736D7B">
              <w:rPr>
                <w:rFonts w:ascii="Times New Roman" w:eastAsia="Times New Roman" w:hAnsi="Times New Roman" w:cs="Times New Roman"/>
                <w:snapToGrid w:val="0"/>
                <w:kern w:val="28"/>
                <w:sz w:val="22"/>
                <w:szCs w:val="22"/>
                <w:lang w:val="en-US" w:eastAsia="en-US" w:bidi="ar-SA"/>
              </w:rPr>
              <w:t>8:1</w:t>
            </w:r>
            <w:r w:rsidRPr="00736D7B" w:rsidR="00293C65">
              <w:rPr>
                <w:rFonts w:ascii="Times New Roman" w:eastAsia="Times New Roman" w:hAnsi="Times New Roman" w:cs="Times New Roman"/>
                <w:snapToGrid w:val="0"/>
                <w:kern w:val="28"/>
                <w:sz w:val="22"/>
                <w:szCs w:val="22"/>
                <w:lang w:val="en-US" w:eastAsia="en-US" w:bidi="ar-SA"/>
              </w:rPr>
              <w:t>2</w:t>
            </w:r>
            <w:r w:rsidRPr="00736D7B">
              <w:rPr>
                <w:rFonts w:ascii="Times New Roman" w:eastAsia="Times New Roman" w:hAnsi="Times New Roman" w:cs="Times New Roman"/>
                <w:snapToGrid w:val="0"/>
                <w:kern w:val="28"/>
                <w:sz w:val="22"/>
                <w:szCs w:val="22"/>
                <w:lang w:val="en-US" w:eastAsia="en-US" w:bidi="ar-SA"/>
              </w:rPr>
              <w:t xml:space="preserve"> a</w:t>
            </w:r>
            <w:r w:rsidRPr="00736D7B" w:rsidR="009511E9">
              <w:rPr>
                <w:rFonts w:ascii="Times New Roman" w:eastAsia="Times New Roman" w:hAnsi="Times New Roman" w:cs="Times New Roman"/>
                <w:snapToGrid w:val="0"/>
                <w:kern w:val="28"/>
                <w:sz w:val="22"/>
                <w:szCs w:val="22"/>
                <w:lang w:val="en-US" w:eastAsia="en-US" w:bidi="ar-SA"/>
              </w:rPr>
              <w:t>.</w:t>
            </w:r>
            <w:r w:rsidRPr="00736D7B">
              <w:rPr>
                <w:rFonts w:ascii="Times New Roman" w:eastAsia="Times New Roman" w:hAnsi="Times New Roman" w:cs="Times New Roman"/>
                <w:snapToGrid w:val="0"/>
                <w:kern w:val="28"/>
                <w:sz w:val="22"/>
                <w:szCs w:val="22"/>
                <w:lang w:val="en-US" w:eastAsia="en-US" w:bidi="ar-SA"/>
              </w:rPr>
              <w:t>m</w:t>
            </w:r>
            <w:r w:rsidRPr="00736D7B" w:rsidR="009511E9">
              <w:rPr>
                <w:rFonts w:ascii="Times New Roman" w:eastAsia="Times New Roman" w:hAnsi="Times New Roman" w:cs="Times New Roman"/>
                <w:snapToGrid w:val="0"/>
                <w:kern w:val="28"/>
                <w:sz w:val="22"/>
                <w:szCs w:val="22"/>
                <w:lang w:val="en-US" w:eastAsia="en-US" w:bidi="ar-SA"/>
              </w:rPr>
              <w:t>.</w:t>
            </w:r>
            <w:r>
              <w:rPr>
                <w:rStyle w:val="FootnoteReference"/>
                <w:sz w:val="22"/>
                <w:szCs w:val="22"/>
              </w:rPr>
              <w:footnoteReference w:id="60"/>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HI-EMA cancels further transmission of the false alert, but does not issue an “all clear” message.</w:t>
            </w:r>
            <w:r>
              <w:rPr>
                <w:rStyle w:val="FootnoteReference"/>
                <w:sz w:val="22"/>
                <w:szCs w:val="22"/>
              </w:rPr>
              <w:footnoteReference w:id="61"/>
            </w:r>
            <w:r w:rsidRPr="008F022F">
              <w:rPr>
                <w:rFonts w:ascii="Times New Roman" w:eastAsia="Times New Roman" w:hAnsi="Times New Roman" w:cs="Times New Roman"/>
                <w:snapToGrid w:val="0"/>
                <w:kern w:val="28"/>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531407">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8:1</w:t>
            </w:r>
            <w:r w:rsidRPr="008F022F" w:rsidR="00293C65">
              <w:rPr>
                <w:rFonts w:ascii="Times New Roman" w:eastAsia="Times New Roman" w:hAnsi="Times New Roman" w:cs="Times New Roman"/>
                <w:snapToGrid w:val="0"/>
                <w:kern w:val="28"/>
                <w:sz w:val="22"/>
                <w:szCs w:val="22"/>
                <w:lang w:val="en-US" w:eastAsia="en-US" w:bidi="ar-SA"/>
              </w:rPr>
              <w:t>3</w:t>
            </w:r>
            <w:r w:rsidRPr="008F022F">
              <w:rPr>
                <w:rFonts w:ascii="Times New Roman" w:eastAsia="Times New Roman" w:hAnsi="Times New Roman" w:cs="Times New Roman"/>
                <w:snapToGrid w:val="0"/>
                <w:kern w:val="28"/>
                <w:sz w:val="22"/>
                <w:szCs w:val="22"/>
                <w:lang w:val="en-US" w:eastAsia="en-US" w:bidi="ar-SA"/>
              </w:rPr>
              <w:t xml:space="preserve">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 xml:space="preserve"> – 8:</w:t>
            </w:r>
            <w:r w:rsidRPr="008F022F" w:rsidR="00293C65">
              <w:rPr>
                <w:rFonts w:ascii="Times New Roman" w:eastAsia="Times New Roman" w:hAnsi="Times New Roman" w:cs="Times New Roman"/>
                <w:snapToGrid w:val="0"/>
                <w:kern w:val="28"/>
                <w:sz w:val="22"/>
                <w:szCs w:val="22"/>
                <w:lang w:val="en-US" w:eastAsia="en-US" w:bidi="ar-SA"/>
              </w:rPr>
              <w:t>26</w:t>
            </w:r>
            <w:r w:rsidRPr="008F022F">
              <w:rPr>
                <w:rFonts w:ascii="Times New Roman" w:eastAsia="Times New Roman" w:hAnsi="Times New Roman" w:cs="Times New Roman"/>
                <w:snapToGrid w:val="0"/>
                <w:kern w:val="28"/>
                <w:sz w:val="22"/>
                <w:szCs w:val="22"/>
                <w:lang w:val="en-US" w:eastAsia="en-US" w:bidi="ar-SA"/>
              </w:rPr>
              <w:t xml:space="preserve">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HI-EMA’s phone lines become congested with incoming calls from the public asking about the nature of the alert that they just received.</w:t>
            </w:r>
            <w:r>
              <w:rPr>
                <w:rStyle w:val="FootnoteReference"/>
                <w:sz w:val="22"/>
                <w:szCs w:val="22"/>
              </w:rPr>
              <w:footnoteReference w:id="62"/>
            </w:r>
            <w:r w:rsidRPr="008F022F">
              <w:rPr>
                <w:rFonts w:ascii="Times New Roman" w:eastAsia="Times New Roman" w:hAnsi="Times New Roman" w:cs="Times New Roman"/>
                <w:snapToGrid w:val="0"/>
                <w:kern w:val="28"/>
                <w:sz w:val="22"/>
                <w:szCs w:val="22"/>
                <w:lang w:val="en-US" w:eastAsia="en-US" w:bidi="ar-SA"/>
              </w:rPr>
              <w:t xml:space="preserve">  </w:t>
            </w:r>
          </w:p>
          <w:p w:rsidR="005F415A"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w:t>
            </w:r>
            <w:r w:rsidRPr="008F022F" w:rsidR="00E9413C">
              <w:rPr>
                <w:rFonts w:ascii="Times New Roman" w:eastAsia="Times New Roman" w:hAnsi="Times New Roman" w:cs="Times New Roman"/>
                <w:snapToGrid w:val="0"/>
                <w:kern w:val="28"/>
                <w:sz w:val="22"/>
                <w:szCs w:val="22"/>
                <w:lang w:val="en-US" w:eastAsia="en-US" w:bidi="ar-SA"/>
              </w:rPr>
              <w:t>EMA notifies</w:t>
            </w:r>
            <w:r w:rsidR="00F955F3">
              <w:rPr>
                <w:rFonts w:ascii="Times New Roman" w:eastAsia="Times New Roman" w:hAnsi="Times New Roman" w:cs="Times New Roman"/>
                <w:snapToGrid w:val="0"/>
                <w:kern w:val="28"/>
                <w:sz w:val="22"/>
                <w:szCs w:val="22"/>
                <w:lang w:val="en-US" w:eastAsia="en-US" w:bidi="ar-SA"/>
              </w:rPr>
              <w:t xml:space="preserve"> its</w:t>
            </w:r>
            <w:r w:rsidRPr="008F022F" w:rsidR="00E9413C">
              <w:rPr>
                <w:rFonts w:ascii="Times New Roman" w:eastAsia="Times New Roman" w:hAnsi="Times New Roman" w:cs="Times New Roman"/>
                <w:snapToGrid w:val="0"/>
                <w:kern w:val="28"/>
                <w:sz w:val="22"/>
                <w:szCs w:val="22"/>
                <w:lang w:val="en-US" w:eastAsia="en-US" w:bidi="ar-SA"/>
              </w:rPr>
              <w:t xml:space="preserve"> staff that the alarm was false so that they can help to respond to community inquiries.  </w:t>
            </w:r>
            <w:r w:rsidRPr="008F022F" w:rsidR="005E5838">
              <w:rPr>
                <w:rFonts w:ascii="Times New Roman" w:eastAsia="Times New Roman" w:hAnsi="Times New Roman" w:cs="Times New Roman"/>
                <w:snapToGrid w:val="0"/>
                <w:kern w:val="28"/>
                <w:sz w:val="22"/>
                <w:szCs w:val="22"/>
                <w:lang w:val="en-US" w:eastAsia="en-US" w:bidi="ar-SA"/>
              </w:rPr>
              <w:t xml:space="preserve">HI-EMA </w:t>
            </w:r>
            <w:r w:rsidRPr="008F022F" w:rsidR="00D85D04">
              <w:rPr>
                <w:rFonts w:ascii="Times New Roman" w:eastAsia="Times New Roman" w:hAnsi="Times New Roman" w:cs="Times New Roman"/>
                <w:snapToGrid w:val="0"/>
                <w:kern w:val="28"/>
                <w:sz w:val="22"/>
                <w:szCs w:val="22"/>
                <w:lang w:val="en-US" w:eastAsia="en-US" w:bidi="ar-SA"/>
              </w:rPr>
              <w:t>notifies</w:t>
            </w:r>
            <w:r w:rsidRPr="008F022F" w:rsidR="005E5838">
              <w:rPr>
                <w:rFonts w:ascii="Times New Roman" w:eastAsia="Times New Roman" w:hAnsi="Times New Roman" w:cs="Times New Roman"/>
                <w:snapToGrid w:val="0"/>
                <w:kern w:val="28"/>
                <w:sz w:val="22"/>
                <w:szCs w:val="22"/>
                <w:lang w:val="en-US" w:eastAsia="en-US" w:bidi="ar-SA"/>
              </w:rPr>
              <w:t xml:space="preserve"> Hawaii’s county emergency management agencies and radio and TV stations to inform them that the alarm </w:t>
            </w:r>
            <w:r w:rsidRPr="008F022F" w:rsidR="00D85D04">
              <w:rPr>
                <w:rFonts w:ascii="Times New Roman" w:eastAsia="Times New Roman" w:hAnsi="Times New Roman" w:cs="Times New Roman"/>
                <w:snapToGrid w:val="0"/>
                <w:kern w:val="28"/>
                <w:sz w:val="22"/>
                <w:szCs w:val="22"/>
                <w:lang w:val="en-US" w:eastAsia="en-US" w:bidi="ar-SA"/>
              </w:rPr>
              <w:t>i</w:t>
            </w:r>
            <w:r w:rsidRPr="008F022F" w:rsidR="005E5838">
              <w:rPr>
                <w:rFonts w:ascii="Times New Roman" w:eastAsia="Times New Roman" w:hAnsi="Times New Roman" w:cs="Times New Roman"/>
                <w:snapToGrid w:val="0"/>
                <w:kern w:val="28"/>
                <w:sz w:val="22"/>
                <w:szCs w:val="22"/>
                <w:lang w:val="en-US" w:eastAsia="en-US" w:bidi="ar-SA"/>
              </w:rPr>
              <w:t>s false.</w:t>
            </w:r>
            <w:r>
              <w:rPr>
                <w:rStyle w:val="FootnoteReference"/>
                <w:sz w:val="22"/>
                <w:szCs w:val="22"/>
              </w:rPr>
              <w:footnoteReference w:id="63"/>
            </w:r>
            <w:r w:rsidRPr="008F022F">
              <w:rPr>
                <w:rFonts w:ascii="Times New Roman" w:eastAsia="Times New Roman" w:hAnsi="Times New Roman" w:cs="Times New Roman"/>
                <w:snapToGrid w:val="0"/>
                <w:kern w:val="28"/>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w:t>
            </w:r>
            <w:r w:rsidRPr="008F022F" w:rsidR="0068588E">
              <w:rPr>
                <w:rFonts w:ascii="Times New Roman" w:eastAsia="Times New Roman" w:hAnsi="Times New Roman" w:cs="Times New Roman"/>
                <w:snapToGrid w:val="0"/>
                <w:kern w:val="28"/>
                <w:sz w:val="22"/>
                <w:szCs w:val="22"/>
                <w:lang w:val="en-US" w:eastAsia="en-US" w:bidi="ar-SA"/>
              </w:rPr>
              <w:t>20</w:t>
            </w:r>
            <w:r w:rsidRPr="008F022F">
              <w:rPr>
                <w:rFonts w:ascii="Times New Roman" w:eastAsia="Times New Roman" w:hAnsi="Times New Roman" w:cs="Times New Roman"/>
                <w:snapToGrid w:val="0"/>
                <w:kern w:val="28"/>
                <w:sz w:val="22"/>
                <w:szCs w:val="22"/>
                <w:lang w:val="en-US" w:eastAsia="en-US" w:bidi="ar-SA"/>
              </w:rPr>
              <w:t xml:space="preserve">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5F415A"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HI-EMA posts on </w:t>
            </w:r>
            <w:r w:rsidR="004A36C3">
              <w:rPr>
                <w:rFonts w:ascii="Times New Roman" w:eastAsia="Times New Roman" w:hAnsi="Times New Roman" w:cs="Times New Roman"/>
                <w:snapToGrid w:val="0"/>
                <w:kern w:val="28"/>
                <w:sz w:val="22"/>
                <w:szCs w:val="22"/>
                <w:lang w:val="en-US" w:eastAsia="en-US" w:bidi="ar-SA"/>
              </w:rPr>
              <w:t>its</w:t>
            </w:r>
            <w:r w:rsidRPr="008F022F" w:rsidR="004A36C3">
              <w:rPr>
                <w:rFonts w:ascii="Times New Roman" w:eastAsia="Times New Roman" w:hAnsi="Times New Roman" w:cs="Times New Roman"/>
                <w:snapToGrid w:val="0"/>
                <w:kern w:val="28"/>
                <w:sz w:val="22"/>
                <w:szCs w:val="22"/>
                <w:lang w:val="en-US" w:eastAsia="en-US" w:bidi="ar-SA"/>
              </w:rPr>
              <w:t xml:space="preserve"> </w:t>
            </w:r>
            <w:r w:rsidRPr="008F022F">
              <w:rPr>
                <w:rFonts w:ascii="Times New Roman" w:eastAsia="Times New Roman" w:hAnsi="Times New Roman" w:cs="Times New Roman"/>
                <w:snapToGrid w:val="0"/>
                <w:kern w:val="28"/>
                <w:sz w:val="22"/>
                <w:szCs w:val="22"/>
                <w:lang w:val="en-US" w:eastAsia="en-US" w:bidi="ar-SA"/>
              </w:rPr>
              <w:t>Twitter account</w:t>
            </w:r>
            <w:r w:rsidRPr="008F022F" w:rsidR="0068588E">
              <w:rPr>
                <w:rFonts w:ascii="Times New Roman" w:eastAsia="Times New Roman" w:hAnsi="Times New Roman" w:cs="Times New Roman"/>
                <w:snapToGrid w:val="0"/>
                <w:kern w:val="28"/>
                <w:sz w:val="22"/>
                <w:szCs w:val="22"/>
                <w:lang w:val="en-US" w:eastAsia="en-US" w:bidi="ar-SA"/>
              </w:rPr>
              <w:t>, “NO</w:t>
            </w:r>
            <w:r w:rsidRPr="008F022F">
              <w:rPr>
                <w:rFonts w:ascii="Times New Roman" w:eastAsia="Times New Roman" w:hAnsi="Times New Roman" w:cs="Times New Roman"/>
                <w:snapToGrid w:val="0"/>
                <w:kern w:val="28"/>
                <w:sz w:val="22"/>
                <w:szCs w:val="22"/>
                <w:lang w:val="en-US" w:eastAsia="en-US" w:bidi="ar-SA"/>
              </w:rPr>
              <w:t xml:space="preserve"> missile threat to Hawaii.</w:t>
            </w:r>
            <w:r w:rsidRPr="008F022F" w:rsidR="0068588E">
              <w:rPr>
                <w:rFonts w:ascii="Times New Roman" w:eastAsia="Times New Roman" w:hAnsi="Times New Roman" w:cs="Times New Roman"/>
                <w:snapToGrid w:val="0"/>
                <w:kern w:val="28"/>
                <w:sz w:val="22"/>
                <w:szCs w:val="22"/>
                <w:lang w:val="en-US" w:eastAsia="en-US" w:bidi="ar-SA"/>
              </w:rPr>
              <w:t>”</w:t>
            </w:r>
            <w:r>
              <w:rPr>
                <w:rStyle w:val="FootnoteReference"/>
                <w:sz w:val="22"/>
                <w:szCs w:val="22"/>
              </w:rPr>
              <w:footnoteReference w:id="64"/>
            </w:r>
            <w:r w:rsidRPr="008F022F">
              <w:rPr>
                <w:rFonts w:ascii="Times New Roman" w:eastAsia="Times New Roman" w:hAnsi="Times New Roman" w:cs="Times New Roman"/>
                <w:snapToGrid w:val="0"/>
                <w:kern w:val="28"/>
                <w:sz w:val="22"/>
                <w:szCs w:val="22"/>
                <w:lang w:val="en-US" w:eastAsia="en-US" w:bidi="ar-SA"/>
              </w:rPr>
              <w:t xml:space="preserve"> </w:t>
            </w:r>
          </w:p>
        </w:tc>
      </w:tr>
      <w:tr w:rsidTr="00CC0F0D">
        <w:tblPrEx>
          <w:tblW w:w="0" w:type="auto"/>
          <w:tblInd w:w="0" w:type="dxa"/>
          <w:tblCellMar>
            <w:top w:w="0" w:type="dxa"/>
            <w:left w:w="108" w:type="dxa"/>
            <w:bottom w:w="0" w:type="dxa"/>
            <w:right w:w="108" w:type="dxa"/>
          </w:tblCellMar>
          <w:tblLook w:val="04A0"/>
        </w:tblPrEx>
        <w:tc>
          <w:tcPr>
            <w:tcW w:w="1435" w:type="dxa"/>
            <w:shd w:val="clear" w:color="auto" w:fill="auto"/>
          </w:tcPr>
          <w:p w:rsidR="0068588E" w:rsidRPr="00512401"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8:23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shd w:val="clear" w:color="auto" w:fill="auto"/>
          </w:tcPr>
          <w:p w:rsidR="0068588E" w:rsidRPr="00512401"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HI-EMA posts on </w:t>
            </w:r>
            <w:r w:rsidR="004A36C3">
              <w:rPr>
                <w:rFonts w:ascii="Times New Roman" w:eastAsia="Times New Roman" w:hAnsi="Times New Roman" w:cs="Times New Roman"/>
                <w:snapToGrid w:val="0"/>
                <w:kern w:val="28"/>
                <w:sz w:val="22"/>
                <w:szCs w:val="22"/>
                <w:lang w:val="en-US" w:eastAsia="en-US" w:bidi="ar-SA"/>
              </w:rPr>
              <w:t>its</w:t>
            </w:r>
            <w:r w:rsidRPr="008F022F">
              <w:rPr>
                <w:rFonts w:ascii="Times New Roman" w:eastAsia="Times New Roman" w:hAnsi="Times New Roman" w:cs="Times New Roman"/>
                <w:snapToGrid w:val="0"/>
                <w:kern w:val="28"/>
                <w:sz w:val="22"/>
                <w:szCs w:val="22"/>
                <w:lang w:val="en-US" w:eastAsia="en-US" w:bidi="ar-SA"/>
              </w:rPr>
              <w:t xml:space="preserve"> Facebook account “No missile threat to Hawaii. False Alert. We are currently investigating.”</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8:24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Hawaii Gov. Ige retweets HI-EMA’s notice that there is no missile threat.</w:t>
            </w:r>
            <w:r>
              <w:rPr>
                <w:rStyle w:val="FootnoteReference"/>
                <w:sz w:val="22"/>
                <w:szCs w:val="22"/>
              </w:rPr>
              <w:footnoteReference w:id="65"/>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8:27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HI-EMA staff meets to discuss options for a second, corrective EAS and WEA message.  HI-EMA determines that a Civil Emergency Message (CEM) is the alert event code that best meets the criteria.</w:t>
            </w:r>
            <w:r>
              <w:rPr>
                <w:rStyle w:val="FootnoteReference"/>
                <w:sz w:val="22"/>
                <w:szCs w:val="22"/>
              </w:rPr>
              <w:footnoteReference w:id="66"/>
            </w:r>
            <w:r w:rsidRPr="008F022F">
              <w:rPr>
                <w:rFonts w:ascii="Times New Roman" w:eastAsia="Times New Roman" w:hAnsi="Times New Roman" w:cs="Times New Roman"/>
                <w:snapToGrid w:val="0"/>
                <w:kern w:val="28"/>
                <w:sz w:val="22"/>
                <w:szCs w:val="22"/>
                <w:lang w:val="en-US" w:eastAsia="en-US" w:bidi="ar-SA"/>
              </w:rPr>
              <w:t xml:space="preserve"> </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8:30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HI-EMA calls a representative of the FEMA IPAWS Program Management Office for guidance that CEM is the appropriate event code, but the call </w:t>
            </w:r>
            <w:r w:rsidR="00173714">
              <w:rPr>
                <w:rFonts w:ascii="Times New Roman" w:eastAsia="Times New Roman" w:hAnsi="Times New Roman" w:cs="Times New Roman"/>
                <w:snapToGrid w:val="0"/>
                <w:kern w:val="28"/>
                <w:sz w:val="22"/>
                <w:szCs w:val="22"/>
                <w:lang w:val="en-US" w:eastAsia="en-US" w:bidi="ar-SA"/>
              </w:rPr>
              <w:t>i</w:t>
            </w:r>
            <w:r w:rsidRPr="008F022F">
              <w:rPr>
                <w:rFonts w:ascii="Times New Roman" w:eastAsia="Times New Roman" w:hAnsi="Times New Roman" w:cs="Times New Roman"/>
                <w:snapToGrid w:val="0"/>
                <w:kern w:val="28"/>
                <w:sz w:val="22"/>
                <w:szCs w:val="22"/>
                <w:lang w:val="en-US" w:eastAsia="en-US" w:bidi="ar-SA"/>
              </w:rPr>
              <w:t>s not answered.</w:t>
            </w:r>
            <w:r>
              <w:rPr>
                <w:rStyle w:val="FootnoteReference"/>
                <w:sz w:val="22"/>
                <w:szCs w:val="22"/>
              </w:rPr>
              <w:footnoteReference w:id="67"/>
            </w:r>
          </w:p>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 xml:space="preserve">HI-EMA calls another representative of the FEMA IPAWS Program Management Office and reaches the employee on </w:t>
            </w:r>
            <w:r w:rsidR="004D5273">
              <w:rPr>
                <w:rFonts w:ascii="Times New Roman" w:eastAsia="Times New Roman" w:hAnsi="Times New Roman" w:cs="Times New Roman"/>
                <w:snapToGrid w:val="0"/>
                <w:kern w:val="28"/>
                <w:sz w:val="22"/>
                <w:szCs w:val="22"/>
                <w:lang w:val="en-US" w:eastAsia="en-US" w:bidi="ar-SA"/>
              </w:rPr>
              <w:t>the employee’s</w:t>
            </w:r>
            <w:r w:rsidRPr="008F022F" w:rsidR="004D5273">
              <w:rPr>
                <w:rFonts w:ascii="Times New Roman" w:eastAsia="Times New Roman" w:hAnsi="Times New Roman" w:cs="Times New Roman"/>
                <w:snapToGrid w:val="0"/>
                <w:kern w:val="28"/>
                <w:sz w:val="22"/>
                <w:szCs w:val="22"/>
                <w:lang w:val="en-US" w:eastAsia="en-US" w:bidi="ar-SA"/>
              </w:rPr>
              <w:t xml:space="preserve"> </w:t>
            </w:r>
            <w:r w:rsidRPr="008F022F">
              <w:rPr>
                <w:rFonts w:ascii="Times New Roman" w:eastAsia="Times New Roman" w:hAnsi="Times New Roman" w:cs="Times New Roman"/>
                <w:snapToGrid w:val="0"/>
                <w:kern w:val="28"/>
                <w:sz w:val="22"/>
                <w:szCs w:val="22"/>
                <w:lang w:val="en-US" w:eastAsia="en-US" w:bidi="ar-SA"/>
              </w:rPr>
              <w:t>mobile device.  After 45 seconds, they agree that the correction meets the criteria for a CEM.</w:t>
            </w:r>
          </w:p>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Hawaii Gov. Ige posts the alert cancellation notification on his Facebook page.</w:t>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8:31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 xml:space="preserve"> - 8:44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The Deputy Chief of the HI-EMA Telecommunication Branch logs into HI-EMA’s alert origination software and creates false alert correction messages for EAS and WEA.</w:t>
            </w:r>
            <w:r>
              <w:rPr>
                <w:rStyle w:val="FootnoteReference"/>
                <w:sz w:val="22"/>
                <w:szCs w:val="22"/>
              </w:rPr>
              <w:footnoteReference w:id="68"/>
            </w:r>
          </w:p>
        </w:tc>
      </w:tr>
      <w:tr w:rsidTr="004F6C71">
        <w:tblPrEx>
          <w:tblW w:w="0" w:type="auto"/>
          <w:tblInd w:w="0" w:type="dxa"/>
          <w:tblCellMar>
            <w:top w:w="0" w:type="dxa"/>
            <w:left w:w="108" w:type="dxa"/>
            <w:bottom w:w="0" w:type="dxa"/>
            <w:right w:w="108" w:type="dxa"/>
          </w:tblCellMar>
          <w:tblLook w:val="04A0"/>
        </w:tblPrEx>
        <w:tc>
          <w:tcPr>
            <w:tcW w:w="1435" w:type="dxa"/>
          </w:tcPr>
          <w:p w:rsidR="00E9413C" w:rsidRPr="008F022F" w:rsidP="004F6C71">
            <w:pPr>
              <w:pStyle w:val="ParaNum"/>
              <w:widowControl/>
              <w:numPr>
                <w:ilvl w:val="0"/>
                <w:numId w:val="0"/>
              </w:numPr>
              <w:tabs>
                <w:tab w:val="clear" w:pos="1530"/>
              </w:tabs>
              <w:spacing w:after="120" w:line="259"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8:45 a</w:t>
            </w:r>
            <w:r w:rsidR="009511E9">
              <w:rPr>
                <w:rFonts w:ascii="Times New Roman" w:eastAsia="Times New Roman" w:hAnsi="Times New Roman" w:cs="Times New Roman"/>
                <w:snapToGrid w:val="0"/>
                <w:kern w:val="28"/>
                <w:sz w:val="22"/>
                <w:szCs w:val="22"/>
                <w:lang w:val="en-US" w:eastAsia="en-US" w:bidi="ar-SA"/>
              </w:rPr>
              <w:t>.</w:t>
            </w:r>
            <w:r w:rsidRPr="008F022F">
              <w:rPr>
                <w:rFonts w:ascii="Times New Roman" w:eastAsia="Times New Roman" w:hAnsi="Times New Roman" w:cs="Times New Roman"/>
                <w:snapToGrid w:val="0"/>
                <w:kern w:val="28"/>
                <w:sz w:val="22"/>
                <w:szCs w:val="22"/>
                <w:lang w:val="en-US" w:eastAsia="en-US" w:bidi="ar-SA"/>
              </w:rPr>
              <w:t>m</w:t>
            </w:r>
            <w:r w:rsidR="009511E9">
              <w:rPr>
                <w:rFonts w:ascii="Times New Roman" w:eastAsia="Times New Roman" w:hAnsi="Times New Roman" w:cs="Times New Roman"/>
                <w:snapToGrid w:val="0"/>
                <w:kern w:val="28"/>
                <w:sz w:val="22"/>
                <w:szCs w:val="22"/>
                <w:lang w:val="en-US" w:eastAsia="en-US" w:bidi="ar-SA"/>
              </w:rPr>
              <w:t>.</w:t>
            </w:r>
          </w:p>
        </w:tc>
        <w:tc>
          <w:tcPr>
            <w:tcW w:w="7915" w:type="dxa"/>
          </w:tcPr>
          <w:p w:rsidR="00E9413C" w:rsidRPr="008F022F" w:rsidP="00E466F6">
            <w:pPr>
              <w:pStyle w:val="ParaNum"/>
              <w:widowControl/>
              <w:numPr>
                <w:ilvl w:val="0"/>
                <w:numId w:val="0"/>
              </w:numPr>
              <w:tabs>
                <w:tab w:val="clear" w:pos="1530"/>
              </w:tabs>
              <w:spacing w:after="120" w:line="240" w:lineRule="auto"/>
              <w:ind w:left="0" w:firstLine="0"/>
              <w:rPr>
                <w:rStyle w:val="DefaultParagraphFont"/>
                <w:rFonts w:ascii="Times New Roman" w:eastAsia="Times New Roman" w:hAnsi="Times New Roman" w:cs="Times New Roman"/>
                <w:snapToGrid w:val="0"/>
                <w:kern w:val="28"/>
                <w:sz w:val="22"/>
                <w:szCs w:val="22"/>
                <w:lang w:val="en-US" w:eastAsia="en-US" w:bidi="ar-SA"/>
              </w:rPr>
            </w:pPr>
            <w:r w:rsidRPr="008F022F">
              <w:rPr>
                <w:rFonts w:ascii="Times New Roman" w:eastAsia="Times New Roman" w:hAnsi="Times New Roman" w:cs="Times New Roman"/>
                <w:snapToGrid w:val="0"/>
                <w:kern w:val="28"/>
                <w:sz w:val="22"/>
                <w:szCs w:val="22"/>
                <w:lang w:val="en-US" w:eastAsia="en-US" w:bidi="ar-SA"/>
              </w:rPr>
              <w:t>HI-EMA issues a CEM to correct the false alert 38 minutes after initial transmission.</w:t>
            </w:r>
            <w:r>
              <w:rPr>
                <w:rStyle w:val="FootnoteReference"/>
                <w:sz w:val="22"/>
                <w:szCs w:val="22"/>
              </w:rPr>
              <w:footnoteReference w:id="69"/>
            </w:r>
          </w:p>
        </w:tc>
      </w:tr>
    </w:tbl>
    <w:p w:rsidR="00E9413C" w:rsidRPr="008306F8" w:rsidP="00E9413C">
      <w:pPr>
        <w:pStyle w:val="ParaNum"/>
        <w:numPr>
          <w:ilvl w:val="0"/>
          <w:numId w:val="0"/>
        </w:numPr>
        <w:rPr>
          <w:szCs w:val="22"/>
        </w:rPr>
      </w:pPr>
    </w:p>
    <w:p w:rsidR="00E9413C" w:rsidRPr="008306F8" w:rsidP="00E652A9">
      <w:pPr>
        <w:pStyle w:val="Heading2"/>
      </w:pPr>
      <w:bookmarkStart w:id="139" w:name="_Toc507499231"/>
      <w:bookmarkStart w:id="140" w:name="_Toc511031499"/>
      <w:r w:rsidRPr="008306F8">
        <w:t>Causes Leading to the False Alert and Corresponding Delay in Corrective Action</w:t>
      </w:r>
      <w:bookmarkEnd w:id="139"/>
      <w:bookmarkEnd w:id="140"/>
    </w:p>
    <w:p w:rsidR="00E9413C" w:rsidRPr="008306F8" w:rsidP="00E9413C">
      <w:pPr>
        <w:pStyle w:val="ParaNum"/>
        <w:ind w:left="0"/>
        <w:rPr>
          <w:szCs w:val="22"/>
        </w:rPr>
      </w:pPr>
      <w:r w:rsidRPr="008306F8">
        <w:rPr>
          <w:szCs w:val="22"/>
        </w:rPr>
        <w:t xml:space="preserve">Based on </w:t>
      </w:r>
      <w:r w:rsidR="007E45FA">
        <w:rPr>
          <w:szCs w:val="22"/>
        </w:rPr>
        <w:t xml:space="preserve">its </w:t>
      </w:r>
      <w:r w:rsidRPr="008306F8">
        <w:rPr>
          <w:szCs w:val="22"/>
        </w:rPr>
        <w:t>analysis of the events, the Bureau finds that a combination of human error and inadequate safeguards contributed to the false alert.</w:t>
      </w:r>
    </w:p>
    <w:p w:rsidR="00E9413C" w:rsidRPr="008306F8" w:rsidP="00323935">
      <w:pPr>
        <w:pStyle w:val="ParaNum"/>
        <w:ind w:left="0"/>
      </w:pPr>
      <w:r w:rsidRPr="002F3303">
        <w:rPr>
          <w:i/>
        </w:rPr>
        <w:t xml:space="preserve">The primary </w:t>
      </w:r>
      <w:r w:rsidRPr="002F3303">
        <w:rPr>
          <w:i/>
        </w:rPr>
        <w:t>human error</w:t>
      </w:r>
      <w:r w:rsidRPr="002F3303">
        <w:rPr>
          <w:i/>
        </w:rPr>
        <w:t xml:space="preserve"> was </w:t>
      </w:r>
      <w:r w:rsidRPr="002F3303" w:rsidR="00531BE1">
        <w:rPr>
          <w:i/>
        </w:rPr>
        <w:t xml:space="preserve">a failure to hear and/or properly </w:t>
      </w:r>
      <w:r w:rsidRPr="002F3303" w:rsidR="00905300">
        <w:rPr>
          <w:i/>
        </w:rPr>
        <w:t xml:space="preserve">understand </w:t>
      </w:r>
      <w:r w:rsidRPr="002F3303" w:rsidR="00531BE1">
        <w:rPr>
          <w:i/>
        </w:rPr>
        <w:t>the instructions indicating that the exercise was a test</w:t>
      </w:r>
      <w:r w:rsidRPr="00AB574E" w:rsidR="00531BE1">
        <w:t>.</w:t>
      </w:r>
      <w:r w:rsidR="00C61EE8">
        <w:rPr>
          <w:i/>
        </w:rPr>
        <w:t>—</w:t>
      </w:r>
      <w:r w:rsidR="00531BE1">
        <w:t xml:space="preserve">According to </w:t>
      </w:r>
      <w:r w:rsidR="00776133">
        <w:t xml:space="preserve">the Bureau’s </w:t>
      </w:r>
      <w:r w:rsidR="00531BE1">
        <w:t xml:space="preserve">investigation and the </w:t>
      </w:r>
      <w:r w:rsidRPr="00323935" w:rsidR="00531BE1">
        <w:rPr>
          <w:i/>
        </w:rPr>
        <w:t>HI-EMA Report</w:t>
      </w:r>
      <w:r w:rsidR="00531BE1">
        <w:t xml:space="preserve">, </w:t>
      </w:r>
      <w:r w:rsidRPr="008306F8">
        <w:t xml:space="preserve">the employee who triggered the false alert claims not to have heard “Exercise, Exercise, Exercise” preceding and following the simulated PACOM message, but </w:t>
      </w:r>
      <w:r>
        <w:t xml:space="preserve">does </w:t>
      </w:r>
      <w:r w:rsidRPr="008306F8">
        <w:t>claim</w:t>
      </w:r>
      <w:r>
        <w:t xml:space="preserve"> </w:t>
      </w:r>
      <w:r w:rsidRPr="008306F8">
        <w:t>to have heard “This is not a drill.”</w:t>
      </w:r>
      <w:r>
        <w:rPr>
          <w:rStyle w:val="FootnoteReference"/>
          <w:sz w:val="22"/>
          <w:szCs w:val="22"/>
        </w:rPr>
        <w:footnoteReference w:id="70"/>
      </w:r>
      <w:r>
        <w:t xml:space="preserve"> </w:t>
      </w:r>
      <w:r w:rsidR="00344F6A">
        <w:t xml:space="preserve"> </w:t>
      </w:r>
      <w:r w:rsidR="00043A3B">
        <w:t>A</w:t>
      </w:r>
      <w:r w:rsidRPr="00323935" w:rsidR="00043A3B">
        <w:rPr>
          <w:szCs w:val="22"/>
        </w:rPr>
        <w:t xml:space="preserve">s relayed to the Bureau by </w:t>
      </w:r>
      <w:r w:rsidRPr="00323935" w:rsidR="009579A3">
        <w:rPr>
          <w:szCs w:val="22"/>
        </w:rPr>
        <w:t>HI-EMA</w:t>
      </w:r>
      <w:r w:rsidRPr="00323935" w:rsidR="00043A3B">
        <w:rPr>
          <w:szCs w:val="22"/>
        </w:rPr>
        <w:t xml:space="preserve">, </w:t>
      </w:r>
      <w:r w:rsidR="009D37E1">
        <w:t>the employee who triggered the false alert believed that the missile threat was real</w:t>
      </w:r>
      <w:r w:rsidR="00344F6A">
        <w:t xml:space="preserve">.  </w:t>
      </w:r>
      <w:r w:rsidRPr="008306F8">
        <w:t xml:space="preserve">In an interview with NBC News, the employee who triggered the false alert stated: “I was 100 percent </w:t>
      </w:r>
      <w:r w:rsidRPr="00E87DC9">
        <w:t xml:space="preserve">sure </w:t>
      </w:r>
      <w:r w:rsidRPr="0083524B">
        <w:rPr>
          <w:lang w:val="en"/>
        </w:rPr>
        <w:t>that it was the right decision, that it was real.</w:t>
      </w:r>
      <w:r w:rsidRPr="00E87DC9">
        <w:t>”</w:t>
      </w:r>
      <w:r>
        <w:rPr>
          <w:rStyle w:val="FootnoteReference"/>
          <w:sz w:val="22"/>
          <w:szCs w:val="22"/>
        </w:rPr>
        <w:footnoteReference w:id="71"/>
      </w:r>
      <w:r w:rsidRPr="00E87DC9">
        <w:t xml:space="preserve">  </w:t>
      </w:r>
      <w:r w:rsidRPr="00E87DC9" w:rsidR="00B86CC0">
        <w:t xml:space="preserve">In </w:t>
      </w:r>
      <w:r w:rsidR="00B86CC0">
        <w:t>other words, the employee intended to initiate a real-world emergency alert</w:t>
      </w:r>
      <w:r w:rsidR="0003240C">
        <w:t xml:space="preserve"> based on that employee’s </w:t>
      </w:r>
      <w:r w:rsidR="007C7A42">
        <w:t>mist</w:t>
      </w:r>
      <w:r w:rsidR="00AD5977">
        <w:t xml:space="preserve">aken </w:t>
      </w:r>
      <w:r w:rsidR="0003240C">
        <w:t>belief that Hawaii had come under a ballistic missile attack</w:t>
      </w:r>
      <w:r w:rsidR="00B86CC0">
        <w:t xml:space="preserve">.  </w:t>
      </w:r>
      <w:r>
        <w:t xml:space="preserve">This </w:t>
      </w:r>
      <w:r w:rsidRPr="008306F8">
        <w:t xml:space="preserve">fundamental </w:t>
      </w:r>
      <w:r w:rsidR="009579A3">
        <w:t xml:space="preserve">misunderstanding </w:t>
      </w:r>
      <w:r w:rsidRPr="008306F8">
        <w:t xml:space="preserve">played a critical role in the initiation of the false alert.  </w:t>
      </w:r>
    </w:p>
    <w:p w:rsidR="00E9413C" w:rsidP="00323935">
      <w:pPr>
        <w:pStyle w:val="ParaNum"/>
        <w:ind w:left="0"/>
      </w:pPr>
      <w:r w:rsidRPr="00DE567A">
        <w:rPr>
          <w:i/>
        </w:rPr>
        <w:t xml:space="preserve">A </w:t>
      </w:r>
      <w:r w:rsidRPr="00DE567A" w:rsidR="00247693">
        <w:rPr>
          <w:i/>
        </w:rPr>
        <w:t>misunderstanding</w:t>
      </w:r>
      <w:r w:rsidRPr="00DE567A">
        <w:rPr>
          <w:i/>
        </w:rPr>
        <w:t xml:space="preserve"> between the midnight shift supervisor and day shift supervisor also led to </w:t>
      </w:r>
      <w:r w:rsidRPr="00DE567A" w:rsidR="00B0270A">
        <w:rPr>
          <w:i/>
        </w:rPr>
        <w:t>the drill being run</w:t>
      </w:r>
      <w:r w:rsidRPr="00DE567A">
        <w:rPr>
          <w:i/>
        </w:rPr>
        <w:t xml:space="preserve"> without sufficient supervision</w:t>
      </w:r>
      <w:r w:rsidRPr="002F3303">
        <w:rPr>
          <w:i/>
          <w:szCs w:val="22"/>
        </w:rPr>
        <w:t>.</w:t>
      </w:r>
      <w:r w:rsidR="00C61EE8">
        <w:rPr>
          <w:i/>
        </w:rPr>
        <w:t>—</w:t>
      </w:r>
      <w:r w:rsidR="002667F3">
        <w:rPr>
          <w:szCs w:val="22"/>
        </w:rPr>
        <w:t xml:space="preserve">The Bureau’s investigators found that the midnight shift supervisor did not provide the day shift supervisor </w:t>
      </w:r>
      <w:r w:rsidR="00C61F22">
        <w:rPr>
          <w:szCs w:val="22"/>
        </w:rPr>
        <w:t>with clear</w:t>
      </w:r>
      <w:r w:rsidR="002667F3">
        <w:rPr>
          <w:szCs w:val="22"/>
        </w:rPr>
        <w:t xml:space="preserve"> notice.  </w:t>
      </w:r>
      <w:r w:rsidR="00E87DC9">
        <w:rPr>
          <w:szCs w:val="22"/>
        </w:rPr>
        <w:t>While the</w:t>
      </w:r>
      <w:r w:rsidR="002667F3">
        <w:rPr>
          <w:szCs w:val="22"/>
        </w:rPr>
        <w:t xml:space="preserve"> midnight shift supervisor mentioned to the day shift supervisor that the midnight shift supervisor planned to run a drill</w:t>
      </w:r>
      <w:r w:rsidR="00C61F22">
        <w:rPr>
          <w:szCs w:val="22"/>
        </w:rPr>
        <w:t xml:space="preserve"> with</w:t>
      </w:r>
      <w:r w:rsidR="002667F3">
        <w:rPr>
          <w:szCs w:val="22"/>
        </w:rPr>
        <w:t xml:space="preserve"> just a few minutes</w:t>
      </w:r>
      <w:r w:rsidR="00C61F22">
        <w:rPr>
          <w:szCs w:val="22"/>
        </w:rPr>
        <w:t>’ notice</w:t>
      </w:r>
      <w:r w:rsidR="00E87DC9">
        <w:rPr>
          <w:szCs w:val="22"/>
        </w:rPr>
        <w:t>,</w:t>
      </w:r>
      <w:r w:rsidR="00FE2E45">
        <w:rPr>
          <w:szCs w:val="22"/>
        </w:rPr>
        <w:t xml:space="preserve"> t</w:t>
      </w:r>
      <w:r w:rsidRPr="00323935">
        <w:rPr>
          <w:szCs w:val="22"/>
        </w:rPr>
        <w:t>he day shift supervisor</w:t>
      </w:r>
      <w:r w:rsidR="002667F3">
        <w:rPr>
          <w:szCs w:val="22"/>
        </w:rPr>
        <w:t xml:space="preserve"> </w:t>
      </w:r>
      <w:r w:rsidRPr="00323935">
        <w:rPr>
          <w:szCs w:val="22"/>
        </w:rPr>
        <w:t xml:space="preserve">did not understand that the midnight shift supervisor intended to conduct a drill with the day shift officers </w:t>
      </w:r>
      <w:r w:rsidR="00AB574E">
        <w:rPr>
          <w:szCs w:val="22"/>
        </w:rPr>
        <w:t>during the shift change</w:t>
      </w:r>
      <w:r w:rsidRPr="00323935">
        <w:rPr>
          <w:szCs w:val="22"/>
        </w:rPr>
        <w:t xml:space="preserve">.  </w:t>
      </w:r>
      <w:r w:rsidR="00B0270A">
        <w:rPr>
          <w:szCs w:val="22"/>
        </w:rPr>
        <w:t xml:space="preserve">Rather, the day shift supervisor </w:t>
      </w:r>
      <w:r w:rsidR="002667F3">
        <w:rPr>
          <w:szCs w:val="22"/>
        </w:rPr>
        <w:t>assumed</w:t>
      </w:r>
      <w:r w:rsidR="00B0270A">
        <w:rPr>
          <w:szCs w:val="22"/>
        </w:rPr>
        <w:t xml:space="preserve"> </w:t>
      </w:r>
      <w:r w:rsidR="00E3679D">
        <w:rPr>
          <w:szCs w:val="22"/>
        </w:rPr>
        <w:t>that the midnight shift supervisor would run a drill with the midnight shift</w:t>
      </w:r>
      <w:r w:rsidR="00C61F22">
        <w:rPr>
          <w:szCs w:val="22"/>
        </w:rPr>
        <w:t xml:space="preserve"> warning officers</w:t>
      </w:r>
      <w:r w:rsidR="00B0270A">
        <w:rPr>
          <w:szCs w:val="22"/>
        </w:rPr>
        <w:t xml:space="preserve">.  </w:t>
      </w:r>
      <w:r w:rsidRPr="00323935">
        <w:rPr>
          <w:szCs w:val="22"/>
        </w:rPr>
        <w:t>As a result, the day shift supervisor was not in the watch center to supervise</w:t>
      </w:r>
      <w:r w:rsidRPr="00F3248D">
        <w:rPr>
          <w:szCs w:val="22"/>
        </w:rPr>
        <w:t xml:space="preserve"> the drill</w:t>
      </w:r>
      <w:r w:rsidRPr="00F3248D">
        <w:rPr>
          <w:szCs w:val="22"/>
        </w:rPr>
        <w:t>.</w:t>
      </w:r>
      <w:r>
        <w:rPr>
          <w:rStyle w:val="FootnoteReference"/>
          <w:sz w:val="22"/>
          <w:szCs w:val="22"/>
        </w:rPr>
        <w:footnoteReference w:id="72"/>
      </w:r>
      <w:r w:rsidRPr="00323935">
        <w:rPr>
          <w:szCs w:val="22"/>
        </w:rPr>
        <w:t xml:space="preserve">  Other emergency management agencies the Bureau interviewed stressed the importance of proper drill supervision, and </w:t>
      </w:r>
      <w:r w:rsidR="00395575">
        <w:rPr>
          <w:szCs w:val="22"/>
        </w:rPr>
        <w:t xml:space="preserve">stated </w:t>
      </w:r>
      <w:r w:rsidRPr="00323935">
        <w:rPr>
          <w:szCs w:val="22"/>
        </w:rPr>
        <w:t>that conducting a drill without proper supervision would not be tolerated.</w:t>
      </w:r>
      <w:r>
        <w:rPr>
          <w:rStyle w:val="FootnoteReference"/>
          <w:sz w:val="22"/>
          <w:szCs w:val="22"/>
        </w:rPr>
        <w:footnoteReference w:id="73"/>
      </w:r>
      <w:r w:rsidRPr="00323935">
        <w:rPr>
          <w:szCs w:val="22"/>
        </w:rPr>
        <w:t xml:space="preserve">  Further, HI-EMA practiced this drill without notice to the warning officer receiving the simulated call from PACOM.  The Bureau’s investigation reveals that while other eme</w:t>
      </w:r>
      <w:r>
        <w:t>rgency management agencies use</w:t>
      </w:r>
      <w:r w:rsidRPr="005339C8">
        <w:t xml:space="preserve"> </w:t>
      </w:r>
      <w:r>
        <w:t xml:space="preserve">no-notice drills under special circumstances, </w:t>
      </w:r>
      <w:r w:rsidR="004B7F10">
        <w:t xml:space="preserve">the </w:t>
      </w:r>
      <w:r>
        <w:t>common practice is to schedule drills for a set date and time in advance.</w:t>
      </w:r>
      <w:r>
        <w:rPr>
          <w:rStyle w:val="FootnoteReference"/>
        </w:rPr>
        <w:footnoteReference w:id="74"/>
      </w:r>
      <w:r>
        <w:t xml:space="preserve">    </w:t>
      </w:r>
    </w:p>
    <w:p w:rsidR="0003240C" w:rsidRPr="00323935" w:rsidP="00323935">
      <w:pPr>
        <w:pStyle w:val="ParaNum"/>
        <w:tabs>
          <w:tab w:val="num" w:pos="1440"/>
        </w:tabs>
        <w:ind w:left="0"/>
        <w:rPr>
          <w:szCs w:val="22"/>
        </w:rPr>
      </w:pPr>
      <w:bookmarkStart w:id="141" w:name="_Ref509135192"/>
      <w:r w:rsidRPr="00DE567A">
        <w:rPr>
          <w:i/>
        </w:rPr>
        <w:t xml:space="preserve">HI-EMA lacked adequate safeguards to </w:t>
      </w:r>
      <w:r w:rsidRPr="00DE567A" w:rsidR="00E074C2">
        <w:rPr>
          <w:i/>
        </w:rPr>
        <w:t>mitigate the impact of any</w:t>
      </w:r>
      <w:r w:rsidRPr="00DE567A">
        <w:rPr>
          <w:i/>
        </w:rPr>
        <w:t xml:space="preserve"> communications breakdown</w:t>
      </w:r>
      <w:r w:rsidRPr="00DE567A" w:rsidR="009579A3">
        <w:rPr>
          <w:i/>
        </w:rPr>
        <w:t>s</w:t>
      </w:r>
      <w:r w:rsidRPr="00DE567A">
        <w:rPr>
          <w:i/>
        </w:rPr>
        <w:t xml:space="preserve"> between supervisors and warning officers authorized to initiate alerts.</w:t>
      </w:r>
      <w:r w:rsidR="00C61EE8">
        <w:rPr>
          <w:i/>
        </w:rPr>
        <w:t>—</w:t>
      </w:r>
      <w:r w:rsidRPr="00323935">
        <w:rPr>
          <w:szCs w:val="22"/>
        </w:rPr>
        <w:t>Specifically, HI-EMA lacked procedures</w:t>
      </w:r>
      <w:r w:rsidRPr="00F3248D">
        <w:rPr>
          <w:szCs w:val="22"/>
        </w:rPr>
        <w:t xml:space="preserve"> to prevent a single person from mistakenly sending a missile alert to Hawaii</w:t>
      </w:r>
      <w:r w:rsidRPr="00F3248D" w:rsidR="009579A3">
        <w:rPr>
          <w:szCs w:val="22"/>
        </w:rPr>
        <w:t>an public</w:t>
      </w:r>
      <w:r w:rsidRPr="00F3248D">
        <w:rPr>
          <w:szCs w:val="22"/>
        </w:rPr>
        <w:t xml:space="preserve">.  </w:t>
      </w:r>
      <w:r w:rsidRPr="00F3248D" w:rsidR="00863C50">
        <w:rPr>
          <w:szCs w:val="22"/>
        </w:rPr>
        <w:t>P</w:t>
      </w:r>
      <w:r w:rsidRPr="00F3248D" w:rsidR="000E4D11">
        <w:rPr>
          <w:szCs w:val="22"/>
        </w:rPr>
        <w:t>rior to the morning of January 13, 2018, HI-EMA did not require</w:t>
      </w:r>
      <w:r w:rsidRPr="00C8776B">
        <w:rPr>
          <w:szCs w:val="22"/>
        </w:rPr>
        <w:t xml:space="preserve"> </w:t>
      </w:r>
      <w:r w:rsidRPr="00E40E92" w:rsidR="000E4D11">
        <w:rPr>
          <w:szCs w:val="22"/>
        </w:rPr>
        <w:t>confirmation from a second warning officer before sending</w:t>
      </w:r>
      <w:r w:rsidRPr="00E40E92">
        <w:rPr>
          <w:szCs w:val="22"/>
        </w:rPr>
        <w:t xml:space="preserve"> a</w:t>
      </w:r>
      <w:r w:rsidR="00DE567A">
        <w:rPr>
          <w:szCs w:val="22"/>
        </w:rPr>
        <w:t xml:space="preserve"> ballistic missile</w:t>
      </w:r>
      <w:r w:rsidRPr="00E40E92">
        <w:rPr>
          <w:szCs w:val="22"/>
        </w:rPr>
        <w:t xml:space="preserve"> alert.</w:t>
      </w:r>
      <w:bookmarkStart w:id="142" w:name="_Ref509156107"/>
      <w:r>
        <w:rPr>
          <w:rStyle w:val="FootnoteReference"/>
          <w:szCs w:val="22"/>
        </w:rPr>
        <w:footnoteReference w:id="75"/>
      </w:r>
      <w:bookmarkEnd w:id="142"/>
      <w:r w:rsidRPr="00323935" w:rsidR="000E4D11">
        <w:rPr>
          <w:szCs w:val="22"/>
        </w:rPr>
        <w:t xml:space="preserve">  </w:t>
      </w:r>
      <w:r w:rsidR="00887107">
        <w:rPr>
          <w:szCs w:val="22"/>
        </w:rPr>
        <w:t xml:space="preserve"> </w:t>
      </w:r>
      <w:r w:rsidR="00DD4810">
        <w:rPr>
          <w:color w:val="111111"/>
          <w:szCs w:val="22"/>
        </w:rPr>
        <w:t xml:space="preserve">  </w:t>
      </w:r>
      <w:bookmarkEnd w:id="141"/>
    </w:p>
    <w:p w:rsidR="00C326E0" w:rsidRPr="00C326E0" w:rsidP="00E43E77">
      <w:pPr>
        <w:pStyle w:val="ParaNum"/>
        <w:ind w:left="0"/>
        <w:rPr>
          <w:color w:val="000000"/>
        </w:rPr>
      </w:pPr>
      <w:bookmarkStart w:id="143" w:name="_Hlk509447703"/>
      <w:r w:rsidRPr="00DE567A">
        <w:t xml:space="preserve">HI-EMA’s </w:t>
      </w:r>
      <w:r w:rsidRPr="00E01660" w:rsidR="00DB42C4">
        <w:t>procedures for conducting a ballistic missile drill lacked adequate safeguards that might have helped to avoid the communication errors that led to the false alert</w:t>
      </w:r>
      <w:r w:rsidRPr="00DE567A" w:rsidR="00DB42C4">
        <w:t>.</w:t>
      </w:r>
      <w:r>
        <w:rPr>
          <w:rStyle w:val="FootnoteReference"/>
        </w:rPr>
        <w:footnoteReference w:id="76"/>
      </w:r>
      <w:r w:rsidR="00900A17">
        <w:t xml:space="preserve">  </w:t>
      </w:r>
      <w:r w:rsidRPr="00CE69C1" w:rsidR="00DB42C4">
        <w:t>First, t</w:t>
      </w:r>
      <w:r w:rsidRPr="00CE69C1" w:rsidR="00DB42C4">
        <w:rPr>
          <w:color w:val="000000"/>
          <w:szCs w:val="22"/>
          <w:shd w:val="clear" w:color="auto" w:fill="FFFFFF"/>
        </w:rPr>
        <w:t>he</w:t>
      </w:r>
      <w:r w:rsidRPr="00C326E0" w:rsidR="00DB42C4">
        <w:rPr>
          <w:color w:val="000000"/>
          <w:szCs w:val="22"/>
          <w:shd w:val="clear" w:color="auto" w:fill="FFFFFF"/>
        </w:rPr>
        <w:t xml:space="preserve"> ballistic missile checklist lacked guidelines for HI-EMA staff </w:t>
      </w:r>
      <w:r w:rsidRPr="00CC599F" w:rsidR="00CC599F">
        <w:rPr>
          <w:color w:val="000000"/>
          <w:szCs w:val="22"/>
          <w:shd w:val="clear" w:color="auto" w:fill="FFFFFF"/>
        </w:rPr>
        <w:t>for conducting an internal drill, including how to create or modify</w:t>
      </w:r>
      <w:r w:rsidRPr="00C326E0" w:rsidR="00DB42C4">
        <w:rPr>
          <w:color w:val="000000"/>
          <w:szCs w:val="22"/>
          <w:shd w:val="clear" w:color="auto" w:fill="FFFFFF"/>
        </w:rPr>
        <w:t xml:space="preserve"> an internal drill initiation message.</w:t>
      </w:r>
      <w:r>
        <w:rPr>
          <w:rStyle w:val="FootnoteReference"/>
          <w:szCs w:val="22"/>
          <w:shd w:val="clear" w:color="auto" w:fill="FFFFFF"/>
        </w:rPr>
        <w:footnoteReference w:id="77"/>
      </w:r>
      <w:r w:rsidRPr="00C326E0" w:rsidR="00DB42C4">
        <w:rPr>
          <w:color w:val="000000"/>
          <w:szCs w:val="22"/>
          <w:shd w:val="clear" w:color="auto" w:fill="FFFFFF"/>
        </w:rPr>
        <w:t xml:space="preserve"> </w:t>
      </w:r>
      <w:r w:rsidR="00DB42C4">
        <w:rPr>
          <w:color w:val="000000"/>
          <w:szCs w:val="22"/>
          <w:shd w:val="clear" w:color="auto" w:fill="FFFFFF"/>
        </w:rPr>
        <w:t xml:space="preserve"> </w:t>
      </w:r>
      <w:r w:rsidR="00CC599F">
        <w:rPr>
          <w:color w:val="000000"/>
          <w:szCs w:val="22"/>
          <w:shd w:val="clear" w:color="auto" w:fill="FFFFFF"/>
        </w:rPr>
        <w:t>As a matter of general practice, t</w:t>
      </w:r>
      <w:r w:rsidR="00DB42C4">
        <w:rPr>
          <w:color w:val="000000"/>
          <w:szCs w:val="22"/>
          <w:shd w:val="clear" w:color="auto" w:fill="FFFFFF"/>
        </w:rPr>
        <w:t xml:space="preserve">he HI-EMA procedure </w:t>
      </w:r>
      <w:r w:rsidR="00673119">
        <w:rPr>
          <w:color w:val="000000"/>
          <w:szCs w:val="22"/>
          <w:shd w:val="clear" w:color="auto" w:fill="FFFFFF"/>
        </w:rPr>
        <w:t>f</w:t>
      </w:r>
      <w:r w:rsidR="00DB42C4">
        <w:rPr>
          <w:color w:val="000000"/>
          <w:szCs w:val="22"/>
          <w:shd w:val="clear" w:color="auto" w:fill="FFFFFF"/>
        </w:rPr>
        <w:t>or an internal</w:t>
      </w:r>
      <w:r w:rsidRPr="00C326E0" w:rsidR="00DB42C4">
        <w:rPr>
          <w:color w:val="000000"/>
          <w:szCs w:val="22"/>
          <w:shd w:val="clear" w:color="auto" w:fill="FFFFFF"/>
        </w:rPr>
        <w:t xml:space="preserve"> drill </w:t>
      </w:r>
      <w:r w:rsidR="00DB42C4">
        <w:rPr>
          <w:color w:val="000000"/>
          <w:szCs w:val="22"/>
          <w:shd w:val="clear" w:color="auto" w:fill="FFFFFF"/>
        </w:rPr>
        <w:t>used language identical to that contained in the checklist for actual ballistic missile alerts</w:t>
      </w:r>
      <w:r w:rsidR="00900A17">
        <w:rPr>
          <w:color w:val="000000"/>
          <w:szCs w:val="22"/>
          <w:shd w:val="clear" w:color="auto" w:fill="FFFFFF"/>
        </w:rPr>
        <w:t>—</w:t>
      </w:r>
      <w:r w:rsidR="00DB42C4">
        <w:rPr>
          <w:color w:val="000000"/>
          <w:szCs w:val="22"/>
          <w:shd w:val="clear" w:color="auto" w:fill="FFFFFF"/>
        </w:rPr>
        <w:t>including the phrase “real world”</w:t>
      </w:r>
      <w:r w:rsidR="00900A17">
        <w:rPr>
          <w:color w:val="000000"/>
          <w:szCs w:val="22"/>
          <w:shd w:val="clear" w:color="auto" w:fill="FFFFFF"/>
        </w:rPr>
        <w:t>—</w:t>
      </w:r>
      <w:r w:rsidR="00DB42C4">
        <w:rPr>
          <w:color w:val="000000"/>
          <w:szCs w:val="22"/>
          <w:shd w:val="clear" w:color="auto" w:fill="FFFFFF"/>
        </w:rPr>
        <w:t xml:space="preserve">but added the words “exercise, exercise, exercise” both before and after the message to indicate that it was a drill.  Use of the </w:t>
      </w:r>
      <w:r w:rsidRPr="00C326E0" w:rsidR="00DB42C4">
        <w:rPr>
          <w:color w:val="000000"/>
          <w:szCs w:val="22"/>
          <w:shd w:val="clear" w:color="auto" w:fill="FFFFFF"/>
        </w:rPr>
        <w:t xml:space="preserve">same </w:t>
      </w:r>
      <w:r w:rsidR="00DB42C4">
        <w:rPr>
          <w:color w:val="000000"/>
          <w:szCs w:val="22"/>
          <w:shd w:val="clear" w:color="auto" w:fill="FFFFFF"/>
        </w:rPr>
        <w:t xml:space="preserve">language </w:t>
      </w:r>
      <w:r w:rsidRPr="00C326E0" w:rsidR="00DB42C4">
        <w:rPr>
          <w:color w:val="000000"/>
          <w:szCs w:val="22"/>
          <w:shd w:val="clear" w:color="auto" w:fill="FFFFFF"/>
        </w:rPr>
        <w:t>for both test and live</w:t>
      </w:r>
      <w:r w:rsidR="00DB42C4">
        <w:rPr>
          <w:color w:val="000000"/>
          <w:szCs w:val="22"/>
          <w:shd w:val="clear" w:color="auto" w:fill="FFFFFF"/>
        </w:rPr>
        <w:t xml:space="preserve"> alert initiation procedures </w:t>
      </w:r>
      <w:r w:rsidRPr="00C326E0" w:rsidR="00DB42C4">
        <w:rPr>
          <w:color w:val="000000"/>
          <w:szCs w:val="22"/>
          <w:shd w:val="clear" w:color="auto" w:fill="FFFFFF"/>
        </w:rPr>
        <w:t xml:space="preserve">could cause confusion among warning officers </w:t>
      </w:r>
      <w:r w:rsidR="00DB42C4">
        <w:rPr>
          <w:color w:val="000000"/>
          <w:szCs w:val="22"/>
          <w:shd w:val="clear" w:color="auto" w:fill="FFFFFF"/>
        </w:rPr>
        <w:t xml:space="preserve">who </w:t>
      </w:r>
      <w:r w:rsidRPr="00C326E0" w:rsidR="00DB42C4">
        <w:rPr>
          <w:color w:val="000000"/>
          <w:szCs w:val="22"/>
          <w:shd w:val="clear" w:color="auto" w:fill="FFFFFF"/>
        </w:rPr>
        <w:t>receiv</w:t>
      </w:r>
      <w:r w:rsidR="00DB42C4">
        <w:rPr>
          <w:color w:val="000000"/>
          <w:szCs w:val="22"/>
          <w:shd w:val="clear" w:color="auto" w:fill="FFFFFF"/>
        </w:rPr>
        <w:t>ed</w:t>
      </w:r>
      <w:r w:rsidRPr="00C326E0" w:rsidR="00DB42C4">
        <w:rPr>
          <w:color w:val="000000"/>
          <w:szCs w:val="22"/>
          <w:shd w:val="clear" w:color="auto" w:fill="FFFFFF"/>
        </w:rPr>
        <w:t xml:space="preserve"> the message without </w:t>
      </w:r>
      <w:r w:rsidR="00DB42C4">
        <w:rPr>
          <w:color w:val="000000"/>
          <w:szCs w:val="22"/>
          <w:shd w:val="clear" w:color="auto" w:fill="FFFFFF"/>
        </w:rPr>
        <w:t xml:space="preserve">prior </w:t>
      </w:r>
      <w:r w:rsidRPr="00C326E0" w:rsidR="00DB42C4">
        <w:rPr>
          <w:color w:val="000000"/>
          <w:szCs w:val="22"/>
          <w:shd w:val="clear" w:color="auto" w:fill="FFFFFF"/>
        </w:rPr>
        <w:t xml:space="preserve">notice, </w:t>
      </w:r>
      <w:r w:rsidRPr="00E87DC9" w:rsidR="00DB42C4">
        <w:rPr>
          <w:color w:val="000000"/>
          <w:szCs w:val="22"/>
          <w:shd w:val="clear" w:color="auto" w:fill="FFFFFF"/>
        </w:rPr>
        <w:t xml:space="preserve">notwithstanding the </w:t>
      </w:r>
      <w:r w:rsidRPr="00E87DC9" w:rsidR="00DB42C4">
        <w:rPr>
          <w:color w:val="000000"/>
          <w:szCs w:val="22"/>
        </w:rPr>
        <w:t xml:space="preserve">statements </w:t>
      </w:r>
      <w:r w:rsidR="00DB42C4">
        <w:rPr>
          <w:color w:val="000000"/>
          <w:szCs w:val="22"/>
        </w:rPr>
        <w:t xml:space="preserve">at the beginning and end of the message </w:t>
      </w:r>
      <w:r w:rsidRPr="00E87DC9" w:rsidR="00DB42C4">
        <w:rPr>
          <w:color w:val="000000"/>
          <w:szCs w:val="22"/>
        </w:rPr>
        <w:t>that it was an exercise.</w:t>
      </w:r>
      <w:r w:rsidRPr="0083524B" w:rsidR="00DB42C4">
        <w:rPr>
          <w:color w:val="000000"/>
          <w:szCs w:val="22"/>
        </w:rPr>
        <w:t xml:space="preserve">  </w:t>
      </w:r>
      <w:r w:rsidR="00DB42C4">
        <w:rPr>
          <w:color w:val="000000"/>
          <w:szCs w:val="22"/>
        </w:rPr>
        <w:t>Furthermore, i</w:t>
      </w:r>
      <w:r w:rsidRPr="0083524B" w:rsidR="00DB42C4">
        <w:rPr>
          <w:color w:val="000000"/>
          <w:szCs w:val="22"/>
        </w:rPr>
        <w:t xml:space="preserve">n this case, </w:t>
      </w:r>
      <w:r w:rsidRPr="00E87DC9" w:rsidR="00DB42C4">
        <w:rPr>
          <w:color w:val="000000"/>
          <w:szCs w:val="22"/>
        </w:rPr>
        <w:t xml:space="preserve">the midnight shift supervisor </w:t>
      </w:r>
      <w:r w:rsidR="00DB42C4">
        <w:rPr>
          <w:color w:val="000000"/>
          <w:szCs w:val="22"/>
        </w:rPr>
        <w:t>deviated from the above-referenced procedure by creating a new script that blended</w:t>
      </w:r>
      <w:r w:rsidRPr="007869BC" w:rsidR="00DB42C4">
        <w:rPr>
          <w:color w:val="000000"/>
          <w:szCs w:val="22"/>
        </w:rPr>
        <w:t xml:space="preserve"> elements from 1) the</w:t>
      </w:r>
      <w:r w:rsidR="00DB42C4">
        <w:rPr>
          <w:color w:val="000000"/>
          <w:szCs w:val="22"/>
        </w:rPr>
        <w:t xml:space="preserve"> standard</w:t>
      </w:r>
      <w:r w:rsidRPr="007869BC" w:rsidR="00DB42C4">
        <w:rPr>
          <w:color w:val="000000"/>
          <w:szCs w:val="22"/>
        </w:rPr>
        <w:t xml:space="preserve"> drill </w:t>
      </w:r>
      <w:r w:rsidR="00DB42C4">
        <w:rPr>
          <w:color w:val="000000"/>
          <w:szCs w:val="22"/>
        </w:rPr>
        <w:t xml:space="preserve">initiation </w:t>
      </w:r>
      <w:r w:rsidRPr="007869BC" w:rsidR="00DB42C4">
        <w:rPr>
          <w:color w:val="000000"/>
          <w:szCs w:val="22"/>
        </w:rPr>
        <w:t>message script</w:t>
      </w:r>
      <w:r w:rsidR="00DB42C4">
        <w:rPr>
          <w:color w:val="000000"/>
          <w:szCs w:val="22"/>
        </w:rPr>
        <w:t xml:space="preserve"> (</w:t>
      </w:r>
      <w:r w:rsidRPr="00B023B5" w:rsidR="00DB42C4">
        <w:rPr>
          <w:i/>
          <w:color w:val="000000"/>
          <w:szCs w:val="22"/>
        </w:rPr>
        <w:t>i.e.</w:t>
      </w:r>
      <w:r w:rsidR="00DB42C4">
        <w:rPr>
          <w:color w:val="000000"/>
          <w:szCs w:val="22"/>
        </w:rPr>
        <w:t xml:space="preserve">, </w:t>
      </w:r>
      <w:r w:rsidRPr="007869BC" w:rsidR="00DB42C4">
        <w:rPr>
          <w:color w:val="000000"/>
          <w:szCs w:val="22"/>
        </w:rPr>
        <w:t xml:space="preserve">the </w:t>
      </w:r>
      <w:r w:rsidR="00DB42C4">
        <w:rPr>
          <w:color w:val="000000"/>
          <w:szCs w:val="22"/>
        </w:rPr>
        <w:t xml:space="preserve">ballistic missile </w:t>
      </w:r>
      <w:r w:rsidRPr="007869BC" w:rsidR="00DB42C4">
        <w:rPr>
          <w:color w:val="000000"/>
          <w:szCs w:val="22"/>
        </w:rPr>
        <w:t>checklist</w:t>
      </w:r>
      <w:r w:rsidR="00DB42C4">
        <w:rPr>
          <w:color w:val="000000"/>
          <w:szCs w:val="22"/>
        </w:rPr>
        <w:t xml:space="preserve"> language</w:t>
      </w:r>
      <w:r w:rsidRPr="007869BC" w:rsidR="00DB42C4">
        <w:rPr>
          <w:color w:val="000000"/>
          <w:szCs w:val="22"/>
        </w:rPr>
        <w:t xml:space="preserve"> </w:t>
      </w:r>
      <w:r w:rsidR="00DB42C4">
        <w:rPr>
          <w:color w:val="000000"/>
          <w:szCs w:val="22"/>
        </w:rPr>
        <w:t>that used</w:t>
      </w:r>
      <w:r w:rsidRPr="007869BC" w:rsidR="00DB42C4">
        <w:rPr>
          <w:color w:val="000000"/>
          <w:szCs w:val="22"/>
        </w:rPr>
        <w:t xml:space="preserve"> the phrase “real world</w:t>
      </w:r>
      <w:r w:rsidR="00373865">
        <w:rPr>
          <w:color w:val="000000"/>
          <w:szCs w:val="22"/>
        </w:rPr>
        <w:t>,</w:t>
      </w:r>
      <w:r w:rsidRPr="007869BC" w:rsidR="00DB42C4">
        <w:rPr>
          <w:color w:val="000000"/>
          <w:szCs w:val="22"/>
        </w:rPr>
        <w:t>” and</w:t>
      </w:r>
      <w:r w:rsidR="00373865">
        <w:rPr>
          <w:color w:val="000000"/>
          <w:szCs w:val="22"/>
        </w:rPr>
        <w:t xml:space="preserve"> preceded and followed the message with</w:t>
      </w:r>
      <w:r w:rsidRPr="007869BC" w:rsidR="00DB42C4">
        <w:rPr>
          <w:color w:val="000000"/>
          <w:szCs w:val="22"/>
        </w:rPr>
        <w:t xml:space="preserve"> “exercise, exercise, exercise”</w:t>
      </w:r>
      <w:r w:rsidRPr="0083524B" w:rsidR="00DB42C4">
        <w:rPr>
          <w:color w:val="000000"/>
          <w:szCs w:val="22"/>
        </w:rPr>
        <w:t xml:space="preserve">) and 2) </w:t>
      </w:r>
      <w:r w:rsidR="00DB42C4">
        <w:rPr>
          <w:color w:val="000000"/>
          <w:szCs w:val="22"/>
        </w:rPr>
        <w:t xml:space="preserve">the </w:t>
      </w:r>
      <w:r w:rsidRPr="0083524B" w:rsidR="00DB42C4">
        <w:rPr>
          <w:color w:val="000000"/>
          <w:szCs w:val="22"/>
        </w:rPr>
        <w:t>EAS message for alerting the public</w:t>
      </w:r>
      <w:r w:rsidRPr="00C326E0" w:rsidR="00DB42C4">
        <w:rPr>
          <w:color w:val="000000"/>
        </w:rPr>
        <w:t xml:space="preserve"> </w:t>
      </w:r>
      <w:r w:rsidR="00DB42C4">
        <w:rPr>
          <w:color w:val="000000"/>
        </w:rPr>
        <w:t xml:space="preserve">to an actual missile attack </w:t>
      </w:r>
      <w:r w:rsidRPr="00C326E0" w:rsidR="00DB42C4">
        <w:rPr>
          <w:color w:val="000000"/>
        </w:rPr>
        <w:t>(</w:t>
      </w:r>
      <w:r w:rsidR="00DB42C4">
        <w:rPr>
          <w:color w:val="000000"/>
        </w:rPr>
        <w:t xml:space="preserve">a message that </w:t>
      </w:r>
      <w:r w:rsidRPr="00C326E0" w:rsidR="00DB42C4">
        <w:rPr>
          <w:color w:val="000000"/>
        </w:rPr>
        <w:t>us</w:t>
      </w:r>
      <w:r w:rsidR="00DB42C4">
        <w:rPr>
          <w:color w:val="000000"/>
        </w:rPr>
        <w:t>ed</w:t>
      </w:r>
      <w:r w:rsidRPr="00C326E0" w:rsidR="00DB42C4">
        <w:rPr>
          <w:color w:val="000000"/>
        </w:rPr>
        <w:t xml:space="preserve"> </w:t>
      </w:r>
      <w:r w:rsidR="00DB42C4">
        <w:rPr>
          <w:color w:val="000000"/>
        </w:rPr>
        <w:t xml:space="preserve">the phrase </w:t>
      </w:r>
      <w:r w:rsidR="00C16B63">
        <w:rPr>
          <w:color w:val="000000"/>
        </w:rPr>
        <w:t>“This is not a drill.”</w:t>
      </w:r>
      <w:r w:rsidRPr="00C326E0">
        <w:rPr>
          <w:color w:val="000000"/>
        </w:rPr>
        <w:t>)</w:t>
      </w:r>
      <w:r w:rsidR="00900A17">
        <w:rPr>
          <w:color w:val="000000"/>
        </w:rPr>
        <w:t>.</w:t>
      </w:r>
      <w:r>
        <w:rPr>
          <w:rStyle w:val="FootnoteReference"/>
        </w:rPr>
        <w:footnoteReference w:id="78"/>
      </w:r>
    </w:p>
    <w:p w:rsidR="00E9413C" w:rsidP="0007765D">
      <w:pPr>
        <w:pStyle w:val="ParaNum"/>
        <w:ind w:left="0"/>
      </w:pPr>
      <w:bookmarkEnd w:id="143"/>
      <w:r w:rsidRPr="007F5B07">
        <w:t>Equally significant, the ballistic missile alert checklist used</w:t>
      </w:r>
      <w:r w:rsidRPr="007F5B07" w:rsidR="008306F8">
        <w:t xml:space="preserve"> on January 13, 2018, lacked a</w:t>
      </w:r>
      <w:r w:rsidRPr="007F5B07" w:rsidR="00C77BF2">
        <w:t xml:space="preserve">ny protocol for </w:t>
      </w:r>
      <w:r w:rsidRPr="007F5B07" w:rsidR="00B116ED">
        <w:t>responding to and correcting</w:t>
      </w:r>
      <w:r w:rsidRPr="007F5B07" w:rsidR="00C77BF2">
        <w:t xml:space="preserve"> a </w:t>
      </w:r>
      <w:r w:rsidRPr="007F5B07" w:rsidR="008306F8">
        <w:t>false alert</w:t>
      </w:r>
      <w:r w:rsidRPr="007F5B07">
        <w:t>.</w:t>
      </w:r>
      <w:r>
        <w:t xml:space="preserve"> </w:t>
      </w:r>
      <w:r w:rsidR="007F5B07">
        <w:t xml:space="preserve"> </w:t>
      </w:r>
      <w:r>
        <w:t>Although HI-EMA issued a cancellation at 8:1</w:t>
      </w:r>
      <w:r w:rsidR="00E41BCB">
        <w:t>2</w:t>
      </w:r>
      <w:r>
        <w:t xml:space="preserve"> a</w:t>
      </w:r>
      <w:r w:rsidR="009511E9">
        <w:t>.</w:t>
      </w:r>
      <w:r>
        <w:t>m</w:t>
      </w:r>
      <w:r w:rsidR="009511E9">
        <w:t>.</w:t>
      </w:r>
      <w:r>
        <w:t xml:space="preserve"> (HST), the </w:t>
      </w:r>
      <w:r w:rsidR="00C77BF2">
        <w:t xml:space="preserve">absence of </w:t>
      </w:r>
      <w:r>
        <w:t xml:space="preserve">a </w:t>
      </w:r>
      <w:r w:rsidR="008306F8">
        <w:t xml:space="preserve">false alert </w:t>
      </w:r>
      <w:r w:rsidR="00C77BF2">
        <w:t xml:space="preserve">correction </w:t>
      </w:r>
      <w:r>
        <w:t xml:space="preserve">protocol </w:t>
      </w:r>
      <w:r w:rsidR="00900222">
        <w:t xml:space="preserve">in the </w:t>
      </w:r>
      <w:r w:rsidR="006613C9">
        <w:t>b</w:t>
      </w:r>
      <w:r w:rsidRPr="00C77BF2" w:rsidR="00C77BF2">
        <w:t xml:space="preserve">allistic </w:t>
      </w:r>
      <w:r w:rsidR="006613C9">
        <w:t>m</w:t>
      </w:r>
      <w:r w:rsidRPr="00C77BF2" w:rsidR="00C77BF2">
        <w:t xml:space="preserve">issile </w:t>
      </w:r>
      <w:r w:rsidR="006613C9">
        <w:t>a</w:t>
      </w:r>
      <w:r w:rsidRPr="00C77BF2" w:rsidR="00C77BF2">
        <w:t>lert checklist</w:t>
      </w:r>
      <w:r w:rsidR="006613C9">
        <w:t xml:space="preserve"> </w:t>
      </w:r>
      <w:r w:rsidR="00900222">
        <w:t xml:space="preserve">contributed to </w:t>
      </w:r>
      <w:r w:rsidR="006613C9">
        <w:t xml:space="preserve">HI-EMA’s </w:t>
      </w:r>
      <w:r>
        <w:t>delay in sending o</w:t>
      </w:r>
      <w:r w:rsidR="0005648A">
        <w:t>ut a correction through WEA/EAS</w:t>
      </w:r>
      <w:r w:rsidR="00900222">
        <w:t>.</w:t>
      </w:r>
      <w:r>
        <w:rPr>
          <w:rStyle w:val="FootnoteReference"/>
        </w:rPr>
        <w:footnoteReference w:id="79"/>
      </w:r>
      <w:r>
        <w:t xml:space="preserve">  The </w:t>
      </w:r>
      <w:r w:rsidRPr="0007765D">
        <w:rPr>
          <w:i/>
        </w:rPr>
        <w:t>HI-EMA Report</w:t>
      </w:r>
      <w:r>
        <w:t xml:space="preserve"> </w:t>
      </w:r>
      <w:r w:rsidR="00B84E4A">
        <w:t xml:space="preserve">also </w:t>
      </w:r>
      <w:r>
        <w:t xml:space="preserve">found that the </w:t>
      </w:r>
      <w:r w:rsidRPr="006613C9" w:rsidR="006613C9">
        <w:t xml:space="preserve">ballistic missile alert </w:t>
      </w:r>
      <w:r>
        <w:t xml:space="preserve">checklist </w:t>
      </w:r>
      <w:r w:rsidR="00B84E4A">
        <w:t>lack</w:t>
      </w:r>
      <w:r w:rsidR="00B116ED">
        <w:t>ed</w:t>
      </w:r>
      <w:r w:rsidR="00B84E4A">
        <w:t xml:space="preserve"> detail</w:t>
      </w:r>
      <w:r w:rsidR="00F3248D">
        <w:t>,</w:t>
      </w:r>
      <w:r w:rsidR="00B84E4A">
        <w:t xml:space="preserve"> </w:t>
      </w:r>
      <w:r>
        <w:t>which allow</w:t>
      </w:r>
      <w:r w:rsidR="00B116ED">
        <w:t>ed</w:t>
      </w:r>
      <w:r>
        <w:t xml:space="preserve"> shifts to interpret and differ </w:t>
      </w:r>
      <w:r w:rsidR="00B84E4A">
        <w:t xml:space="preserve">significantly </w:t>
      </w:r>
      <w:r>
        <w:t xml:space="preserve">in </w:t>
      </w:r>
      <w:r w:rsidR="00F3248D">
        <w:t>how</w:t>
      </w:r>
      <w:r w:rsidR="00B84E4A">
        <w:t xml:space="preserve"> they </w:t>
      </w:r>
      <w:r>
        <w:t>execut</w:t>
      </w:r>
      <w:r w:rsidR="00B84E4A">
        <w:t>e</w:t>
      </w:r>
      <w:r w:rsidR="00B116ED">
        <w:t>d</w:t>
      </w:r>
      <w:r w:rsidR="00B84E4A">
        <w:t xml:space="preserve"> a particular </w:t>
      </w:r>
      <w:r>
        <w:t>drill.</w:t>
      </w:r>
      <w:r>
        <w:rPr>
          <w:rStyle w:val="FootnoteReference"/>
        </w:rPr>
        <w:footnoteReference w:id="80"/>
      </w:r>
      <w:r>
        <w:t xml:space="preserve"> </w:t>
      </w:r>
      <w:r w:rsidR="0015531F">
        <w:t xml:space="preserve"> </w:t>
      </w:r>
      <w:r>
        <w:t>Furthermore, regarding the January 13, 2018</w:t>
      </w:r>
      <w:r w:rsidR="00E11C67">
        <w:t>,</w:t>
      </w:r>
      <w:r>
        <w:t xml:space="preserve"> false alert, the </w:t>
      </w:r>
      <w:r w:rsidRPr="007F5B07">
        <w:rPr>
          <w:i/>
        </w:rPr>
        <w:t>HI-EMA Report</w:t>
      </w:r>
      <w:r>
        <w:t xml:space="preserve"> noted that the drill was conducted during a change in shift</w:t>
      </w:r>
      <w:r w:rsidR="00560DCF">
        <w:t>,</w:t>
      </w:r>
      <w:r>
        <w:t xml:space="preserve"> which added confusion </w:t>
      </w:r>
      <w:r w:rsidR="00B84E4A">
        <w:t xml:space="preserve">regarding </w:t>
      </w:r>
      <w:r>
        <w:t xml:space="preserve">who </w:t>
      </w:r>
      <w:r w:rsidR="00B84E4A">
        <w:t>wa</w:t>
      </w:r>
      <w:r>
        <w:t xml:space="preserve">s in charge and which shift </w:t>
      </w:r>
      <w:r w:rsidR="00B84E4A">
        <w:t xml:space="preserve">was to </w:t>
      </w:r>
      <w:r>
        <w:t>execut</w:t>
      </w:r>
      <w:r w:rsidR="00B84E4A">
        <w:t>e</w:t>
      </w:r>
      <w:r>
        <w:t xml:space="preserve"> the checklist actions.</w:t>
      </w:r>
      <w:r>
        <w:rPr>
          <w:rStyle w:val="FootnoteReference"/>
        </w:rPr>
        <w:footnoteReference w:id="81"/>
      </w:r>
      <w:r>
        <w:t xml:space="preserve">   </w:t>
      </w:r>
    </w:p>
    <w:p w:rsidR="00E9413C" w:rsidP="00F3248D">
      <w:pPr>
        <w:pStyle w:val="ParaNum"/>
        <w:ind w:left="0"/>
      </w:pPr>
      <w:r w:rsidRPr="00E40E92">
        <w:t xml:space="preserve">Additionally, </w:t>
      </w:r>
      <w:r w:rsidRPr="00E40E92" w:rsidR="00A736FF">
        <w:t xml:space="preserve">Bureau interviews with emergency management agencies indicate that </w:t>
      </w:r>
      <w:r w:rsidRPr="00E40E92">
        <w:t xml:space="preserve">the frequency with which HI-EMA conducted drills in the months leading up </w:t>
      </w:r>
      <w:r w:rsidRPr="00E40E92" w:rsidR="00A736FF">
        <w:t xml:space="preserve">to the </w:t>
      </w:r>
      <w:r w:rsidRPr="00E40E92">
        <w:t>false alert far exceeds the norm</w:t>
      </w:r>
      <w:r w:rsidRPr="00E40E92" w:rsidR="009A69CA">
        <w:t xml:space="preserve"> among emergency management agencies</w:t>
      </w:r>
      <w:r w:rsidRPr="00A35C65">
        <w:rPr>
          <w:i/>
        </w:rPr>
        <w:t>.</w:t>
      </w:r>
      <w:r w:rsidR="00E40E92">
        <w:rPr>
          <w:i/>
        </w:rPr>
        <w:t xml:space="preserve">  </w:t>
      </w:r>
      <w:r w:rsidR="00EE4659">
        <w:t>For example</w:t>
      </w:r>
      <w:r w:rsidR="0060345D">
        <w:t>,</w:t>
      </w:r>
      <w:r w:rsidR="00EE4659">
        <w:t xml:space="preserve"> i</w:t>
      </w:r>
      <w:r>
        <w:t xml:space="preserve">n the </w:t>
      </w:r>
      <w:r w:rsidR="00320F02">
        <w:t xml:space="preserve">eight </w:t>
      </w:r>
      <w:r>
        <w:t xml:space="preserve">days immediately preceding </w:t>
      </w:r>
      <w:r w:rsidR="00320F02">
        <w:t xml:space="preserve">January 13, </w:t>
      </w:r>
      <w:r>
        <w:t xml:space="preserve">HI-EMA reports that </w:t>
      </w:r>
      <w:r w:rsidR="008D1186">
        <w:t xml:space="preserve">it </w:t>
      </w:r>
      <w:r>
        <w:t xml:space="preserve">conducted this ballistic missile defense drill </w:t>
      </w:r>
      <w:r w:rsidR="00B14948">
        <w:t xml:space="preserve">6 </w:t>
      </w:r>
      <w:r>
        <w:t>times.  Other emergency management agencies the Bureau interviewed report</w:t>
      </w:r>
      <w:r w:rsidR="00622847">
        <w:t>ed</w:t>
      </w:r>
      <w:r>
        <w:t xml:space="preserve"> that they conduct drills weekly, at most.  While frequent preparedness exercises may facilitate proficiency, the frequency with which HI-EMA was sending test messages during this period, together with the shortcomings otherwise identified in this report, made it more likely that a false alert could occur.  </w:t>
      </w:r>
    </w:p>
    <w:p w:rsidR="00E9413C" w:rsidP="00A35C65">
      <w:pPr>
        <w:pStyle w:val="ParaNum"/>
        <w:tabs>
          <w:tab w:val="num" w:pos="1440"/>
        </w:tabs>
        <w:ind w:left="0"/>
      </w:pPr>
      <w:r w:rsidRPr="005B0C24">
        <w:rPr>
          <w:i/>
        </w:rPr>
        <w:t xml:space="preserve">HI-EMA’s alert proficiency training </w:t>
      </w:r>
      <w:r w:rsidRPr="005B0C24" w:rsidR="00A644B2">
        <w:rPr>
          <w:i/>
        </w:rPr>
        <w:t xml:space="preserve">also </w:t>
      </w:r>
      <w:r w:rsidRPr="005B0C24">
        <w:rPr>
          <w:i/>
        </w:rPr>
        <w:t>appears to have been deficient</w:t>
      </w:r>
      <w:r w:rsidRPr="005B0C24">
        <w:rPr>
          <w:i/>
        </w:rPr>
        <w:t>.</w:t>
      </w:r>
      <w:r w:rsidR="00C61EE8">
        <w:rPr>
          <w:i/>
        </w:rPr>
        <w:t>—</w:t>
      </w:r>
      <w:r w:rsidR="0069270E">
        <w:t>T</w:t>
      </w:r>
      <w:r w:rsidR="00320F02">
        <w:t xml:space="preserve">he </w:t>
      </w:r>
      <w:r w:rsidRPr="00F3248D" w:rsidR="00320F02">
        <w:rPr>
          <w:i/>
        </w:rPr>
        <w:t>HI-EMA</w:t>
      </w:r>
      <w:r w:rsidR="00E40E92">
        <w:rPr>
          <w:i/>
        </w:rPr>
        <w:t xml:space="preserve"> </w:t>
      </w:r>
      <w:r w:rsidRPr="00F3248D" w:rsidR="00320F02">
        <w:rPr>
          <w:i/>
        </w:rPr>
        <w:t>Report</w:t>
      </w:r>
      <w:r w:rsidR="00320F02">
        <w:t xml:space="preserve"> observed that all State Warning Point employees </w:t>
      </w:r>
      <w:r w:rsidR="00E72D86">
        <w:t>with access t</w:t>
      </w:r>
      <w:r w:rsidR="00FE2E45">
        <w:t>o the alert origination software</w:t>
      </w:r>
      <w:r w:rsidR="00F3248D">
        <w:t>—</w:t>
      </w:r>
      <w:r w:rsidR="00F77F4F">
        <w:t xml:space="preserve"> </w:t>
      </w:r>
      <w:r w:rsidR="00E72D86">
        <w:t>including the employee who initiated the alert</w:t>
      </w:r>
      <w:r w:rsidR="00F3248D">
        <w:t>—</w:t>
      </w:r>
      <w:r w:rsidR="00320F02">
        <w:t xml:space="preserve">are required to take, and did complete, </w:t>
      </w:r>
      <w:r w:rsidR="00B558B9">
        <w:t xml:space="preserve">required </w:t>
      </w:r>
      <w:r w:rsidR="00320F02">
        <w:t xml:space="preserve">FEMA </w:t>
      </w:r>
      <w:r w:rsidR="0069270E">
        <w:t>training</w:t>
      </w:r>
      <w:r>
        <w:rPr>
          <w:rStyle w:val="FootnoteReference"/>
        </w:rPr>
        <w:footnoteReference w:id="82"/>
      </w:r>
      <w:r w:rsidR="00320F02">
        <w:t xml:space="preserve"> prior to accessing the alert origination software</w:t>
      </w:r>
      <w:r w:rsidR="00B558B9">
        <w:t>.</w:t>
      </w:r>
      <w:r>
        <w:rPr>
          <w:rStyle w:val="FootnoteReference"/>
        </w:rPr>
        <w:footnoteReference w:id="83"/>
      </w:r>
      <w:r w:rsidR="00B558B9">
        <w:t xml:space="preserve"> </w:t>
      </w:r>
      <w:r w:rsidR="00320F02">
        <w:t xml:space="preserve"> </w:t>
      </w:r>
      <w:r w:rsidR="00B558B9">
        <w:t xml:space="preserve">However, </w:t>
      </w:r>
      <w:r w:rsidR="00320F02">
        <w:t>t</w:t>
      </w:r>
      <w:r>
        <w:t xml:space="preserve">he </w:t>
      </w:r>
      <w:r w:rsidRPr="00F3248D">
        <w:rPr>
          <w:i/>
        </w:rPr>
        <w:t>HI-EMA Report</w:t>
      </w:r>
      <w:r>
        <w:t xml:space="preserve"> </w:t>
      </w:r>
      <w:r w:rsidR="00320F02">
        <w:t>also f</w:t>
      </w:r>
      <w:r>
        <w:t>ound</w:t>
      </w:r>
      <w:r w:rsidR="00320F02">
        <w:t xml:space="preserve"> that </w:t>
      </w:r>
      <w:r w:rsidR="00E72D86">
        <w:t xml:space="preserve">no </w:t>
      </w:r>
      <w:r>
        <w:t xml:space="preserve">technical training </w:t>
      </w:r>
      <w:r w:rsidR="00B558B9">
        <w:t xml:space="preserve">beyond </w:t>
      </w:r>
      <w:r w:rsidR="00961F4A">
        <w:t>“</w:t>
      </w:r>
      <w:r w:rsidR="00B558B9">
        <w:t>basic application</w:t>
      </w:r>
      <w:r w:rsidR="00C61B9B">
        <w:t>”</w:t>
      </w:r>
      <w:r w:rsidR="00B558B9">
        <w:t xml:space="preserve"> </w:t>
      </w:r>
      <w:r>
        <w:t xml:space="preserve">was provided to the </w:t>
      </w:r>
      <w:r w:rsidR="00F80DAA">
        <w:t>State Warning Point</w:t>
      </w:r>
      <w:r w:rsidR="00B558B9">
        <w:t xml:space="preserve"> on the software itself</w:t>
      </w:r>
      <w:r>
        <w:t xml:space="preserve">, </w:t>
      </w:r>
      <w:r w:rsidR="00E72D86">
        <w:t>which m</w:t>
      </w:r>
      <w:r>
        <w:t xml:space="preserve">any personnel </w:t>
      </w:r>
      <w:r w:rsidR="00E72D86">
        <w:t xml:space="preserve">found to be </w:t>
      </w:r>
      <w:r>
        <w:t>inadequate.</w:t>
      </w:r>
      <w:r>
        <w:rPr>
          <w:rStyle w:val="FootnoteReference"/>
        </w:rPr>
        <w:footnoteReference w:id="84"/>
      </w:r>
      <w:r>
        <w:t xml:space="preserve">  </w:t>
      </w:r>
      <w:r w:rsidR="00C855F3">
        <w:t xml:space="preserve">The </w:t>
      </w:r>
      <w:r w:rsidRPr="0007765D" w:rsidR="00C855F3">
        <w:rPr>
          <w:i/>
        </w:rPr>
        <w:t>HI-EMA Report</w:t>
      </w:r>
      <w:r w:rsidR="00C855F3">
        <w:t xml:space="preserve"> does not define “basic application,” but a</w:t>
      </w:r>
      <w:r w:rsidR="002C26B1">
        <w:t>ccording to the Bureau investigation, State Warning Point st</w:t>
      </w:r>
      <w:r w:rsidR="0017297C">
        <w:t xml:space="preserve">aff receive training </w:t>
      </w:r>
      <w:r w:rsidR="00C855F3">
        <w:t xml:space="preserve">on how to </w:t>
      </w:r>
      <w:r w:rsidR="002C26B1">
        <w:t>us</w:t>
      </w:r>
      <w:r w:rsidR="00C855F3">
        <w:t>e</w:t>
      </w:r>
      <w:r w:rsidR="002C26B1">
        <w:t xml:space="preserve"> templates</w:t>
      </w:r>
      <w:r w:rsidR="0017297C">
        <w:t xml:space="preserve"> to initiate alerts</w:t>
      </w:r>
      <w:r w:rsidR="002C26B1">
        <w:t xml:space="preserve">, </w:t>
      </w:r>
      <w:r w:rsidR="00560DCF">
        <w:t xml:space="preserve">but </w:t>
      </w:r>
      <w:r w:rsidR="002C26B1">
        <w:t>not on h</w:t>
      </w:r>
      <w:r w:rsidR="0017297C">
        <w:t>ow to create alert messages using</w:t>
      </w:r>
      <w:r w:rsidR="002C26B1">
        <w:t xml:space="preserve"> the alert origination software.  </w:t>
      </w:r>
      <w:r>
        <w:t xml:space="preserve">The </w:t>
      </w:r>
      <w:r w:rsidRPr="00F3248D">
        <w:rPr>
          <w:i/>
        </w:rPr>
        <w:t>HI-EMA Report</w:t>
      </w:r>
      <w:r>
        <w:t xml:space="preserve"> further found that “[t]here are no personnel training records which make it difficult to determine what training each S</w:t>
      </w:r>
      <w:r w:rsidR="00F80DAA">
        <w:t>tate Warning Point</w:t>
      </w:r>
      <w:r>
        <w:t xml:space="preserve"> member has taken.”</w:t>
      </w:r>
      <w:r>
        <w:rPr>
          <w:rStyle w:val="FootnoteReference"/>
        </w:rPr>
        <w:footnoteReference w:id="85"/>
      </w:r>
      <w:r>
        <w:t xml:space="preserve">  </w:t>
      </w:r>
    </w:p>
    <w:p w:rsidR="00F3248D" w:rsidRPr="00F3248D" w:rsidP="00F3248D">
      <w:pPr>
        <w:pStyle w:val="ParaNum"/>
        <w:ind w:left="0"/>
      </w:pPr>
      <w:r w:rsidRPr="00C61EE8">
        <w:rPr>
          <w:i/>
          <w:szCs w:val="22"/>
        </w:rPr>
        <w:t xml:space="preserve">HI-EMA’s alert origination software lacked </w:t>
      </w:r>
      <w:r w:rsidR="0042782F">
        <w:rPr>
          <w:i/>
          <w:szCs w:val="22"/>
        </w:rPr>
        <w:t xml:space="preserve">certain </w:t>
      </w:r>
      <w:r w:rsidRPr="00C61EE8">
        <w:rPr>
          <w:i/>
          <w:szCs w:val="22"/>
        </w:rPr>
        <w:t>safeguards.</w:t>
      </w:r>
      <w:r>
        <w:rPr>
          <w:i/>
        </w:rPr>
        <w:t>—</w:t>
      </w:r>
      <w:r w:rsidRPr="00C61EE8" w:rsidR="00E72D86">
        <w:rPr>
          <w:szCs w:val="22"/>
        </w:rPr>
        <w:t>The Bureau’s investigation indicates that, f</w:t>
      </w:r>
      <w:r w:rsidRPr="00C61EE8" w:rsidR="00E9413C">
        <w:rPr>
          <w:szCs w:val="22"/>
        </w:rPr>
        <w:t>rom a technical perspective, the safeguards offered by HI-EMA’s alert origination software were in line with safeguards offered by other alert origination software vendors</w:t>
      </w:r>
      <w:r w:rsidR="00880DCB">
        <w:rPr>
          <w:szCs w:val="22"/>
        </w:rPr>
        <w:t xml:space="preserve"> for preventing a single employee from triggering a false alert</w:t>
      </w:r>
      <w:r w:rsidRPr="00C61EE8" w:rsidR="00E9413C">
        <w:rPr>
          <w:szCs w:val="22"/>
        </w:rPr>
        <w:t xml:space="preserve">, with </w:t>
      </w:r>
      <w:r w:rsidRPr="00C61EE8" w:rsidR="0042782F">
        <w:rPr>
          <w:szCs w:val="22"/>
        </w:rPr>
        <w:t>t</w:t>
      </w:r>
      <w:r w:rsidR="0042782F">
        <w:rPr>
          <w:szCs w:val="22"/>
        </w:rPr>
        <w:t xml:space="preserve">wo </w:t>
      </w:r>
      <w:r w:rsidRPr="00C61EE8" w:rsidR="00E9413C">
        <w:rPr>
          <w:szCs w:val="22"/>
        </w:rPr>
        <w:t>notable exceptions</w:t>
      </w:r>
      <w:r w:rsidRPr="00C61EE8">
        <w:rPr>
          <w:szCs w:val="22"/>
        </w:rPr>
        <w:t>—</w:t>
      </w:r>
      <w:r w:rsidRPr="00C61EE8" w:rsidR="00E9413C">
        <w:rPr>
          <w:szCs w:val="22"/>
        </w:rPr>
        <w:t>the extent to which HI-EMA’s alert origination software allowed users to create their own template alert messages</w:t>
      </w:r>
      <w:r w:rsidR="0042782F">
        <w:rPr>
          <w:szCs w:val="22"/>
        </w:rPr>
        <w:t xml:space="preserve"> and</w:t>
      </w:r>
      <w:r w:rsidRPr="00C61EE8" w:rsidR="00E9413C">
        <w:rPr>
          <w:szCs w:val="22"/>
        </w:rPr>
        <w:t xml:space="preserve"> the extent of integration between the software’s live production</w:t>
      </w:r>
      <w:r w:rsidRPr="00C61EE8" w:rsidR="00E72D86">
        <w:rPr>
          <w:szCs w:val="22"/>
        </w:rPr>
        <w:t xml:space="preserve"> and testing</w:t>
      </w:r>
      <w:r w:rsidRPr="00C61EE8" w:rsidR="00E9413C">
        <w:rPr>
          <w:szCs w:val="22"/>
        </w:rPr>
        <w:t xml:space="preserve"> environment</w:t>
      </w:r>
      <w:r w:rsidRPr="00C61EE8" w:rsidR="00E72D86">
        <w:rPr>
          <w:szCs w:val="22"/>
        </w:rPr>
        <w:t>s</w:t>
      </w:r>
      <w:r w:rsidRPr="00C61EE8" w:rsidR="00E9413C">
        <w:rPr>
          <w:szCs w:val="22"/>
        </w:rPr>
        <w:t>.</w:t>
      </w:r>
      <w:r w:rsidRPr="000D4D4F" w:rsidR="00E9413C">
        <w:rPr>
          <w:i/>
        </w:rPr>
        <w:t xml:space="preserve"> </w:t>
      </w:r>
      <w:r w:rsidRPr="00F3248D" w:rsidR="00E9413C">
        <w:rPr>
          <w:szCs w:val="22"/>
        </w:rPr>
        <w:t xml:space="preserve"> Rather than offering prefabricated templates, </w:t>
      </w:r>
      <w:r w:rsidRPr="00C8776B" w:rsidR="0002668B">
        <w:rPr>
          <w:szCs w:val="22"/>
        </w:rPr>
        <w:t>some</w:t>
      </w:r>
      <w:r w:rsidRPr="00E40E92" w:rsidR="00E9413C">
        <w:rPr>
          <w:szCs w:val="22"/>
        </w:rPr>
        <w:t xml:space="preserve"> alert origination software provider</w:t>
      </w:r>
      <w:r w:rsidRPr="00E40E92" w:rsidR="0002668B">
        <w:rPr>
          <w:szCs w:val="22"/>
        </w:rPr>
        <w:t>s</w:t>
      </w:r>
      <w:r w:rsidRPr="00E40E92" w:rsidR="00E9413C">
        <w:rPr>
          <w:szCs w:val="22"/>
        </w:rPr>
        <w:t xml:space="preserve"> the Bureau </w:t>
      </w:r>
      <w:r w:rsidRPr="00E40E92" w:rsidR="005B5476">
        <w:rPr>
          <w:szCs w:val="22"/>
        </w:rPr>
        <w:t>interviewed prefer</w:t>
      </w:r>
      <w:r w:rsidRPr="00E40E92" w:rsidR="0002668B">
        <w:rPr>
          <w:szCs w:val="22"/>
        </w:rPr>
        <w:t xml:space="preserve"> </w:t>
      </w:r>
      <w:r w:rsidRPr="00E40E92" w:rsidR="00E9413C">
        <w:rPr>
          <w:szCs w:val="22"/>
        </w:rPr>
        <w:t>that their clients manually type each alert into their interface prior to transmission</w:t>
      </w:r>
      <w:r w:rsidRPr="00E40E92" w:rsidR="0002668B">
        <w:rPr>
          <w:szCs w:val="22"/>
        </w:rPr>
        <w:t xml:space="preserve"> to ensure the accuracy of the alert</w:t>
      </w:r>
      <w:r w:rsidRPr="00F3248D" w:rsidR="00E9413C">
        <w:rPr>
          <w:szCs w:val="22"/>
        </w:rPr>
        <w:t>.</w:t>
      </w:r>
      <w:r>
        <w:rPr>
          <w:rStyle w:val="FootnoteReference"/>
          <w:szCs w:val="22"/>
        </w:rPr>
        <w:footnoteReference w:id="86"/>
      </w:r>
      <w:r w:rsidRPr="00F3248D" w:rsidR="00E9413C">
        <w:rPr>
          <w:szCs w:val="22"/>
        </w:rPr>
        <w:t xml:space="preserve">  This approach sacrifices convenience, but </w:t>
      </w:r>
      <w:r>
        <w:rPr>
          <w:szCs w:val="22"/>
        </w:rPr>
        <w:t xml:space="preserve">it </w:t>
      </w:r>
      <w:r w:rsidRPr="00F3248D" w:rsidR="00E9413C">
        <w:rPr>
          <w:szCs w:val="22"/>
        </w:rPr>
        <w:t xml:space="preserve">could force the alert originator to focus on the text of the message they are about to transmit.  </w:t>
      </w:r>
    </w:p>
    <w:p w:rsidR="00E9413C" w:rsidP="00F3248D">
      <w:pPr>
        <w:pStyle w:val="ParaNum"/>
        <w:ind w:left="0"/>
      </w:pPr>
      <w:r w:rsidRPr="00F3248D">
        <w:rPr>
          <w:szCs w:val="22"/>
        </w:rPr>
        <w:t xml:space="preserve">Further, HI-EMA’s alert origination software allows users to send both live alerts and internal test alerts using the same interface, and the same log-in credentials, after clicking a button that says, “Send Public Message.”  </w:t>
      </w:r>
      <w:r>
        <w:t>Of particular relevance here, the drop-down menu listed the options for an internal “Test missile alert” together with the “Missile alert” message on the same screen.</w:t>
      </w:r>
      <w:r>
        <w:rPr>
          <w:rStyle w:val="FootnoteReference"/>
        </w:rPr>
        <w:footnoteReference w:id="87"/>
      </w:r>
      <w:r>
        <w:t xml:space="preserve">  </w:t>
      </w:r>
      <w:r w:rsidRPr="00F3248D">
        <w:rPr>
          <w:szCs w:val="22"/>
        </w:rPr>
        <w:t>In contrast, the Bureau’s investigation reveals that common industry practice is to host the live production environment on a separate, user-selectable domain at the log-in screen, or through a separate application.</w:t>
      </w:r>
      <w:r>
        <w:rPr>
          <w:szCs w:val="22"/>
          <w:vertAlign w:val="superscript"/>
        </w:rPr>
        <w:footnoteReference w:id="88"/>
      </w:r>
      <w:r w:rsidRPr="00F3248D">
        <w:rPr>
          <w:szCs w:val="22"/>
        </w:rPr>
        <w:t xml:space="preserve">  Similarly, other alert origination software providers have clear visual cues that distinguish the test environment from the live production environment, including watermarks, color coding, unique numbering, and unique </w:t>
      </w:r>
      <w:r w:rsidRPr="00F3248D" w:rsidR="0002668B">
        <w:rPr>
          <w:szCs w:val="22"/>
        </w:rPr>
        <w:t xml:space="preserve">geographic identification </w:t>
      </w:r>
      <w:r w:rsidRPr="00F3248D">
        <w:rPr>
          <w:szCs w:val="22"/>
        </w:rPr>
        <w:t>codes for internal tests.  These safeguards make it more difficult for users to send live alerts when they intend to test.  In other respects, the functionality and safeguards offered by HI-EMA’s alert origination software were in line with safeguards offered by other alert origination software.</w:t>
      </w:r>
      <w:r>
        <w:rPr>
          <w:rStyle w:val="FootnoteReference"/>
          <w:szCs w:val="22"/>
        </w:rPr>
        <w:footnoteReference w:id="89"/>
      </w:r>
      <w:r>
        <w:t xml:space="preserve">  </w:t>
      </w:r>
      <w:r w:rsidRPr="00033980" w:rsidR="00033980">
        <w:rPr>
          <w:szCs w:val="22"/>
        </w:rPr>
        <w:t xml:space="preserve"> </w:t>
      </w:r>
      <w:r w:rsidR="00291A8F">
        <w:t xml:space="preserve">  </w:t>
      </w:r>
      <w:r w:rsidR="00033980">
        <w:t xml:space="preserve">   </w:t>
      </w:r>
    </w:p>
    <w:p w:rsidR="007204AC" w:rsidRPr="00F118C4" w:rsidP="00F118C4">
      <w:pPr>
        <w:pStyle w:val="ParaNum"/>
        <w:ind w:left="0"/>
        <w:rPr>
          <w:bCs/>
        </w:rPr>
      </w:pPr>
      <w:r w:rsidRPr="000D4D4F">
        <w:rPr>
          <w:i/>
        </w:rPr>
        <w:t>After</w:t>
      </w:r>
      <w:r w:rsidRPr="000D4D4F">
        <w:rPr>
          <w:i/>
        </w:rPr>
        <w:t xml:space="preserve"> </w:t>
      </w:r>
      <w:r w:rsidRPr="000D4D4F">
        <w:rPr>
          <w:i/>
        </w:rPr>
        <w:t>HI-EMA transmitted the false alert</w:t>
      </w:r>
      <w:r w:rsidRPr="000D4D4F">
        <w:rPr>
          <w:i/>
        </w:rPr>
        <w:t>, H</w:t>
      </w:r>
      <w:r w:rsidRPr="000D4D4F">
        <w:rPr>
          <w:i/>
        </w:rPr>
        <w:t>I-EMA</w:t>
      </w:r>
      <w:r w:rsidRPr="000D4D4F">
        <w:rPr>
          <w:i/>
        </w:rPr>
        <w:t xml:space="preserve"> compounded the error by</w:t>
      </w:r>
      <w:r w:rsidRPr="000D4D4F" w:rsidR="00C86728">
        <w:rPr>
          <w:i/>
        </w:rPr>
        <w:t xml:space="preserve"> </w:t>
      </w:r>
      <w:r w:rsidRPr="000D4D4F">
        <w:rPr>
          <w:i/>
        </w:rPr>
        <w:t>delay</w:t>
      </w:r>
      <w:r w:rsidRPr="000D4D4F" w:rsidR="00C86728">
        <w:rPr>
          <w:i/>
        </w:rPr>
        <w:t>ing</w:t>
      </w:r>
      <w:r w:rsidRPr="000D4D4F">
        <w:rPr>
          <w:i/>
        </w:rPr>
        <w:t xml:space="preserve"> </w:t>
      </w:r>
      <w:r w:rsidRPr="000D4D4F" w:rsidR="00C86728">
        <w:rPr>
          <w:i/>
        </w:rPr>
        <w:t>to</w:t>
      </w:r>
      <w:r w:rsidRPr="000D4D4F">
        <w:rPr>
          <w:i/>
        </w:rPr>
        <w:t xml:space="preserve"> </w:t>
      </w:r>
      <w:r w:rsidRPr="000D4D4F" w:rsidR="007E7F78">
        <w:rPr>
          <w:i/>
        </w:rPr>
        <w:t xml:space="preserve">publicly and </w:t>
      </w:r>
      <w:r w:rsidRPr="000D4D4F">
        <w:rPr>
          <w:i/>
        </w:rPr>
        <w:t>authoritatively correct the misinformation.</w:t>
      </w:r>
      <w:r w:rsidR="001F214B">
        <w:rPr>
          <w:i/>
        </w:rPr>
        <w:t>—</w:t>
      </w:r>
      <w:r w:rsidR="000C5F78">
        <w:t>HI-EMA</w:t>
      </w:r>
      <w:r w:rsidR="00622847">
        <w:t xml:space="preserve"> </w:t>
      </w:r>
      <w:r w:rsidRPr="00AC0E63">
        <w:t xml:space="preserve">had not anticipated the possibility of issuing a false alert and, </w:t>
      </w:r>
      <w:r w:rsidR="00DC5290">
        <w:t>thus</w:t>
      </w:r>
      <w:r w:rsidRPr="00AC0E63">
        <w:t xml:space="preserve"> had failed to develop standard procedures for </w:t>
      </w:r>
      <w:r w:rsidR="007E7F78">
        <w:t>how to</w:t>
      </w:r>
      <w:r w:rsidRPr="00AC0E63">
        <w:t xml:space="preserve"> </w:t>
      </w:r>
      <w:r w:rsidR="007E7F78">
        <w:t>respond</w:t>
      </w:r>
      <w:r w:rsidR="00860BB3">
        <w:t xml:space="preserve"> and </w:t>
      </w:r>
      <w:r w:rsidR="00DC5290">
        <w:t xml:space="preserve">to </w:t>
      </w:r>
      <w:r w:rsidR="00860BB3">
        <w:t>communicat</w:t>
      </w:r>
      <w:r w:rsidR="00DC5290">
        <w:t xml:space="preserve">e the error </w:t>
      </w:r>
      <w:r w:rsidR="00860BB3">
        <w:t>with the public.</w:t>
      </w:r>
      <w:r>
        <w:rPr>
          <w:rStyle w:val="FootnoteReference"/>
        </w:rPr>
        <w:footnoteReference w:id="90"/>
      </w:r>
      <w:r w:rsidR="00860BB3">
        <w:t xml:space="preserve">  In hindsight, the mo</w:t>
      </w:r>
      <w:r w:rsidR="00DB3682">
        <w:t>st</w:t>
      </w:r>
      <w:r w:rsidR="00860BB3">
        <w:t xml:space="preserve"> effective method for HI-EMA to </w:t>
      </w:r>
      <w:r w:rsidR="00DC5290">
        <w:t xml:space="preserve">follow would have been to </w:t>
      </w:r>
      <w:r w:rsidR="00860BB3">
        <w:t>notify the public us</w:t>
      </w:r>
      <w:r w:rsidR="00DC5290">
        <w:t>ing</w:t>
      </w:r>
      <w:r w:rsidR="00860BB3">
        <w:t xml:space="preserve"> the same alerting systems (EAS and WEA) that it </w:t>
      </w:r>
      <w:r w:rsidR="00291292">
        <w:t xml:space="preserve">had </w:t>
      </w:r>
      <w:r w:rsidR="00860BB3">
        <w:t xml:space="preserve">used to transmit the false alert.  </w:t>
      </w:r>
      <w:r w:rsidR="003E4015">
        <w:t>H</w:t>
      </w:r>
      <w:r w:rsidR="00FE7306">
        <w:t>ad</w:t>
      </w:r>
      <w:r>
        <w:t xml:space="preserve"> </w:t>
      </w:r>
      <w:r w:rsidR="00FE7306">
        <w:t xml:space="preserve">the </w:t>
      </w:r>
      <w:r>
        <w:t xml:space="preserve">agency </w:t>
      </w:r>
      <w:r w:rsidR="00FE7306">
        <w:t xml:space="preserve">prepared </w:t>
      </w:r>
      <w:r w:rsidR="004B3DE6">
        <w:t xml:space="preserve">a coordinated </w:t>
      </w:r>
      <w:r w:rsidR="00FE7306">
        <w:rPr>
          <w:bCs/>
        </w:rPr>
        <w:t>plan to communicate with the public</w:t>
      </w:r>
      <w:r w:rsidR="007E7F78">
        <w:rPr>
          <w:bCs/>
        </w:rPr>
        <w:t xml:space="preserve"> and key stakeholders, </w:t>
      </w:r>
      <w:r w:rsidR="007E7F78">
        <w:t xml:space="preserve">such as the </w:t>
      </w:r>
      <w:r w:rsidR="00306A6F">
        <w:t>HAB</w:t>
      </w:r>
      <w:r w:rsidR="007E7F78">
        <w:t xml:space="preserve"> or the </w:t>
      </w:r>
      <w:r w:rsidR="00F66A2D">
        <w:t xml:space="preserve">Hawaii </w:t>
      </w:r>
      <w:r w:rsidR="007E7F78">
        <w:t>S</w:t>
      </w:r>
      <w:r w:rsidR="00622847">
        <w:t>ECC</w:t>
      </w:r>
      <w:r w:rsidR="004B3DE6">
        <w:t>, HI-EMA could</w:t>
      </w:r>
      <w:r w:rsidR="00622847">
        <w:t xml:space="preserve"> have</w:t>
      </w:r>
      <w:r w:rsidR="00AA5C86">
        <w:t xml:space="preserve"> </w:t>
      </w:r>
      <w:r w:rsidR="004B3DE6">
        <w:t>mitigated the panic that the false alert created</w:t>
      </w:r>
      <w:r w:rsidR="00DB3682">
        <w:t xml:space="preserve"> in the 38</w:t>
      </w:r>
      <w:r w:rsidR="00661103">
        <w:t>-</w:t>
      </w:r>
      <w:r w:rsidR="00DB3682">
        <w:t xml:space="preserve">minute interval </w:t>
      </w:r>
      <w:r w:rsidR="003F1834">
        <w:t>between the false alert and</w:t>
      </w:r>
      <w:r w:rsidR="00DB3682">
        <w:t xml:space="preserve"> correction</w:t>
      </w:r>
      <w:r>
        <w:rPr>
          <w:bCs/>
        </w:rPr>
        <w:t xml:space="preserve">.  </w:t>
      </w:r>
    </w:p>
    <w:p w:rsidR="00E9413C" w:rsidP="00E652A9">
      <w:pPr>
        <w:pStyle w:val="Heading2"/>
      </w:pPr>
      <w:bookmarkStart w:id="144" w:name="_Toc505854715"/>
      <w:bookmarkStart w:id="145" w:name="_Toc507499232"/>
      <w:bookmarkStart w:id="146" w:name="_Toc511031500"/>
      <w:bookmarkStart w:id="147" w:name="_Toc479775715"/>
      <w:bookmarkStart w:id="148" w:name="_Toc480185621"/>
      <w:bookmarkStart w:id="149" w:name="_Toc480186023"/>
      <w:bookmarkStart w:id="150" w:name="_Toc480297594"/>
      <w:bookmarkStart w:id="151" w:name="_Toc480304747"/>
      <w:bookmarkStart w:id="152" w:name="_Toc480389935"/>
      <w:bookmarkStart w:id="153" w:name="_Toc480390112"/>
      <w:bookmarkStart w:id="154" w:name="_Toc480390621"/>
      <w:bookmarkStart w:id="155" w:name="_Toc478639136"/>
      <w:bookmarkStart w:id="156" w:name="_Toc478723215"/>
      <w:bookmarkStart w:id="157" w:name="_Toc478723824"/>
      <w:bookmarkStart w:id="158" w:name="_Toc479420544"/>
      <w:bookmarkStart w:id="159" w:name="_Toc479765326"/>
      <w:bookmarkStart w:id="160" w:name="_Toc478634421"/>
      <w:bookmarkEnd w:id="9"/>
      <w:r>
        <w:t xml:space="preserve">Performance of the </w:t>
      </w:r>
      <w:bookmarkEnd w:id="144"/>
      <w:r>
        <w:t>Nationwide Alert Systems</w:t>
      </w:r>
      <w:bookmarkEnd w:id="145"/>
      <w:bookmarkEnd w:id="146"/>
      <w:r w:rsidR="00540790">
        <w:t xml:space="preserve"> </w:t>
      </w:r>
    </w:p>
    <w:p w:rsidR="00E9413C" w:rsidRPr="003E11EB" w:rsidP="00E9413C">
      <w:pPr>
        <w:pStyle w:val="Heading3"/>
        <w:rPr>
          <w:szCs w:val="22"/>
        </w:rPr>
      </w:pPr>
      <w:bookmarkStart w:id="161" w:name="_Toc505854716"/>
      <w:bookmarkStart w:id="162" w:name="_Toc507499233"/>
      <w:bookmarkStart w:id="163" w:name="_Toc511031501"/>
      <w:bookmarkStart w:id="164" w:name="_Hlk504562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szCs w:val="22"/>
        </w:rPr>
        <w:t>EAS</w:t>
      </w:r>
      <w:bookmarkEnd w:id="161"/>
      <w:bookmarkEnd w:id="162"/>
      <w:bookmarkEnd w:id="163"/>
    </w:p>
    <w:p w:rsidR="00E9413C" w:rsidRPr="00BA1E90" w:rsidP="001C7E86">
      <w:pPr>
        <w:pStyle w:val="ParaNum"/>
        <w:ind w:left="0"/>
      </w:pPr>
      <w:r w:rsidRPr="009514D0">
        <w:rPr>
          <w:szCs w:val="22"/>
        </w:rPr>
        <w:t xml:space="preserve">According to the </w:t>
      </w:r>
      <w:r w:rsidR="00AA5C86">
        <w:rPr>
          <w:szCs w:val="22"/>
        </w:rPr>
        <w:t xml:space="preserve">HAB </w:t>
      </w:r>
      <w:r w:rsidR="006009E8">
        <w:rPr>
          <w:szCs w:val="22"/>
        </w:rPr>
        <w:t xml:space="preserve">and </w:t>
      </w:r>
      <w:r w:rsidR="00043A3B">
        <w:rPr>
          <w:szCs w:val="22"/>
        </w:rPr>
        <w:t xml:space="preserve">the Hawaii </w:t>
      </w:r>
      <w:r w:rsidR="006009E8">
        <w:rPr>
          <w:szCs w:val="22"/>
        </w:rPr>
        <w:t>SECC</w:t>
      </w:r>
      <w:r w:rsidR="00F50BC0">
        <w:rPr>
          <w:szCs w:val="22"/>
        </w:rPr>
        <w:t xml:space="preserve">, the majority of </w:t>
      </w:r>
      <w:r w:rsidR="00AA5C86">
        <w:rPr>
          <w:szCs w:val="22"/>
        </w:rPr>
        <w:t xml:space="preserve">Hawaiian EAS Participants </w:t>
      </w:r>
      <w:r w:rsidR="00F50BC0">
        <w:rPr>
          <w:szCs w:val="22"/>
        </w:rPr>
        <w:t xml:space="preserve">received the </w:t>
      </w:r>
      <w:r w:rsidR="00892A6E">
        <w:rPr>
          <w:szCs w:val="22"/>
        </w:rPr>
        <w:t>false aler</w:t>
      </w:r>
      <w:r w:rsidR="00105480">
        <w:rPr>
          <w:szCs w:val="22"/>
        </w:rPr>
        <w:t>t</w:t>
      </w:r>
      <w:r w:rsidR="00AA5C86">
        <w:rPr>
          <w:szCs w:val="22"/>
        </w:rPr>
        <w:t xml:space="preserve"> (</w:t>
      </w:r>
      <w:r w:rsidR="00105480">
        <w:rPr>
          <w:szCs w:val="22"/>
        </w:rPr>
        <w:t xml:space="preserve">an EAS Civil Defense Warning </w:t>
      </w:r>
      <w:r w:rsidR="00AA5C86">
        <w:rPr>
          <w:szCs w:val="22"/>
        </w:rPr>
        <w:t xml:space="preserve">or </w:t>
      </w:r>
      <w:r w:rsidR="00105480">
        <w:rPr>
          <w:szCs w:val="22"/>
        </w:rPr>
        <w:t>CDW),</w:t>
      </w:r>
      <w:r w:rsidR="00AA5C86">
        <w:rPr>
          <w:szCs w:val="22"/>
        </w:rPr>
        <w:t xml:space="preserve"> within seconds of its initiation, and delivered the message to the public a few seconds later</w:t>
      </w:r>
      <w:r w:rsidR="00F1661D">
        <w:rPr>
          <w:szCs w:val="22"/>
        </w:rPr>
        <w:t xml:space="preserve">.  </w:t>
      </w:r>
      <w:r w:rsidR="00AA5C86">
        <w:rPr>
          <w:szCs w:val="22"/>
        </w:rPr>
        <w:t xml:space="preserve">These EAS Participants received and delivered </w:t>
      </w:r>
      <w:r w:rsidR="00105480">
        <w:rPr>
          <w:szCs w:val="22"/>
        </w:rPr>
        <w:t>the subsequent correction</w:t>
      </w:r>
      <w:r w:rsidR="00AA5C86">
        <w:rPr>
          <w:szCs w:val="22"/>
        </w:rPr>
        <w:t xml:space="preserve"> (</w:t>
      </w:r>
      <w:r w:rsidR="005B5476">
        <w:rPr>
          <w:szCs w:val="22"/>
        </w:rPr>
        <w:t xml:space="preserve">an </w:t>
      </w:r>
      <w:r w:rsidR="00105480">
        <w:rPr>
          <w:szCs w:val="22"/>
        </w:rPr>
        <w:t xml:space="preserve">EAS Civil Emergency Message </w:t>
      </w:r>
      <w:r w:rsidR="00AA5C86">
        <w:rPr>
          <w:szCs w:val="22"/>
        </w:rPr>
        <w:t xml:space="preserve">or </w:t>
      </w:r>
      <w:r w:rsidR="00105480">
        <w:rPr>
          <w:szCs w:val="22"/>
        </w:rPr>
        <w:t xml:space="preserve">CEM), </w:t>
      </w:r>
      <w:r w:rsidR="00AA5C86">
        <w:rPr>
          <w:szCs w:val="22"/>
        </w:rPr>
        <w:t xml:space="preserve">in the same manner.  </w:t>
      </w:r>
      <w:r w:rsidRPr="001C7E86">
        <w:rPr>
          <w:szCs w:val="22"/>
        </w:rPr>
        <w:t xml:space="preserve">The Hawaii </w:t>
      </w:r>
      <w:r w:rsidR="001C7E86">
        <w:rPr>
          <w:szCs w:val="22"/>
        </w:rPr>
        <w:t xml:space="preserve">State </w:t>
      </w:r>
      <w:r w:rsidRPr="001C7E86">
        <w:rPr>
          <w:szCs w:val="22"/>
        </w:rPr>
        <w:t>EAS Plan provides that</w:t>
      </w:r>
      <w:r w:rsidR="00AA5C86">
        <w:rPr>
          <w:szCs w:val="22"/>
        </w:rPr>
        <w:t xml:space="preserve"> all EAS Participants </w:t>
      </w:r>
      <w:r w:rsidR="001C7E86">
        <w:rPr>
          <w:szCs w:val="22"/>
        </w:rPr>
        <w:t>sh</w:t>
      </w:r>
      <w:r w:rsidRPr="001C7E86">
        <w:rPr>
          <w:szCs w:val="22"/>
        </w:rPr>
        <w:t>ould “auto-forward” alert messages that use the CDW</w:t>
      </w:r>
      <w:r w:rsidR="001C7E86">
        <w:rPr>
          <w:szCs w:val="22"/>
        </w:rPr>
        <w:t xml:space="preserve"> </w:t>
      </w:r>
      <w:r w:rsidR="00FB3125">
        <w:rPr>
          <w:szCs w:val="22"/>
        </w:rPr>
        <w:t xml:space="preserve">and </w:t>
      </w:r>
      <w:r w:rsidRPr="001C7E86">
        <w:rPr>
          <w:szCs w:val="22"/>
        </w:rPr>
        <w:t>CEM</w:t>
      </w:r>
      <w:r w:rsidR="00FB3125">
        <w:rPr>
          <w:szCs w:val="22"/>
        </w:rPr>
        <w:t xml:space="preserve"> event codes</w:t>
      </w:r>
      <w:r w:rsidRPr="00AA5C86" w:rsidR="00AA5C86">
        <w:rPr>
          <w:szCs w:val="22"/>
        </w:rPr>
        <w:t xml:space="preserve"> upon receipt (rather than wait for human intervention)</w:t>
      </w:r>
      <w:r w:rsidRPr="001C7E86">
        <w:rPr>
          <w:szCs w:val="22"/>
        </w:rPr>
        <w:t>.</w:t>
      </w:r>
      <w:r>
        <w:rPr>
          <w:rStyle w:val="FootnoteReference"/>
          <w:szCs w:val="22"/>
        </w:rPr>
        <w:footnoteReference w:id="91"/>
      </w:r>
      <w:r w:rsidRPr="001C7E86">
        <w:rPr>
          <w:szCs w:val="22"/>
        </w:rPr>
        <w:t xml:space="preserve">  </w:t>
      </w:r>
      <w:r w:rsidR="0037778C">
        <w:rPr>
          <w:szCs w:val="22"/>
        </w:rPr>
        <w:t xml:space="preserve">According to </w:t>
      </w:r>
      <w:r w:rsidR="00B628C4">
        <w:rPr>
          <w:szCs w:val="22"/>
        </w:rPr>
        <w:t>H</w:t>
      </w:r>
      <w:r w:rsidR="003C0559">
        <w:rPr>
          <w:szCs w:val="22"/>
        </w:rPr>
        <w:t>A</w:t>
      </w:r>
      <w:r w:rsidR="00B628C4">
        <w:rPr>
          <w:szCs w:val="22"/>
        </w:rPr>
        <w:t xml:space="preserve">B </w:t>
      </w:r>
      <w:r w:rsidR="002869E4">
        <w:rPr>
          <w:szCs w:val="22"/>
        </w:rPr>
        <w:t xml:space="preserve">and the </w:t>
      </w:r>
      <w:r w:rsidR="00AA5C86">
        <w:rPr>
          <w:szCs w:val="22"/>
        </w:rPr>
        <w:t xml:space="preserve">Hawaii </w:t>
      </w:r>
      <w:r w:rsidR="002869E4">
        <w:rPr>
          <w:szCs w:val="22"/>
        </w:rPr>
        <w:t>SECC</w:t>
      </w:r>
      <w:r w:rsidR="0037778C">
        <w:rPr>
          <w:szCs w:val="22"/>
        </w:rPr>
        <w:t xml:space="preserve">, </w:t>
      </w:r>
      <w:r w:rsidR="001C7E86">
        <w:rPr>
          <w:szCs w:val="22"/>
        </w:rPr>
        <w:t>most EAS Participants auto-forwarded both codes on January 1</w:t>
      </w:r>
      <w:r w:rsidR="0037778C">
        <w:rPr>
          <w:szCs w:val="22"/>
        </w:rPr>
        <w:t>3</w:t>
      </w:r>
      <w:r w:rsidR="003E60B8">
        <w:rPr>
          <w:szCs w:val="22"/>
        </w:rPr>
        <w:t>, 2018</w:t>
      </w:r>
      <w:r w:rsidR="001C7E86">
        <w:rPr>
          <w:szCs w:val="22"/>
        </w:rPr>
        <w:t>.</w:t>
      </w:r>
      <w:r>
        <w:rPr>
          <w:rStyle w:val="FootnoteReference"/>
          <w:szCs w:val="22"/>
        </w:rPr>
        <w:footnoteReference w:id="92"/>
      </w:r>
      <w:r w:rsidR="007E3D90">
        <w:rPr>
          <w:szCs w:val="22"/>
        </w:rPr>
        <w:t xml:space="preserve">  </w:t>
      </w:r>
      <w:r w:rsidRPr="005B6825" w:rsidR="00CF7F47">
        <w:rPr>
          <w:szCs w:val="22"/>
        </w:rPr>
        <w:t>Cable provider</w:t>
      </w:r>
      <w:r w:rsidRPr="005B6825" w:rsidR="00C70D47">
        <w:rPr>
          <w:szCs w:val="22"/>
        </w:rPr>
        <w:t xml:space="preserve"> </w:t>
      </w:r>
      <w:r w:rsidRPr="005B6825" w:rsidR="00124617">
        <w:rPr>
          <w:szCs w:val="22"/>
        </w:rPr>
        <w:t>Hawaiian Telecom</w:t>
      </w:r>
      <w:r w:rsidR="00661103">
        <w:rPr>
          <w:szCs w:val="22"/>
        </w:rPr>
        <w:t>,</w:t>
      </w:r>
      <w:r w:rsidR="007A5E34">
        <w:rPr>
          <w:szCs w:val="22"/>
        </w:rPr>
        <w:t xml:space="preserve"> for example,</w:t>
      </w:r>
      <w:r w:rsidRPr="005B6825" w:rsidR="00C70D47">
        <w:rPr>
          <w:szCs w:val="22"/>
        </w:rPr>
        <w:t xml:space="preserve"> </w:t>
      </w:r>
      <w:r w:rsidRPr="005B6825" w:rsidR="00304FF6">
        <w:rPr>
          <w:szCs w:val="22"/>
        </w:rPr>
        <w:t>confirm</w:t>
      </w:r>
      <w:r w:rsidR="00105C42">
        <w:rPr>
          <w:szCs w:val="22"/>
        </w:rPr>
        <w:t>ed</w:t>
      </w:r>
      <w:r w:rsidRPr="005B6825" w:rsidR="00304FF6">
        <w:rPr>
          <w:szCs w:val="22"/>
        </w:rPr>
        <w:t xml:space="preserve"> </w:t>
      </w:r>
      <w:r w:rsidRPr="005B6825" w:rsidR="00105C42">
        <w:rPr>
          <w:szCs w:val="22"/>
        </w:rPr>
        <w:t>th</w:t>
      </w:r>
      <w:r w:rsidR="00105C42">
        <w:rPr>
          <w:szCs w:val="22"/>
        </w:rPr>
        <w:t>at it</w:t>
      </w:r>
      <w:r w:rsidRPr="005B6825" w:rsidR="00105C42">
        <w:rPr>
          <w:szCs w:val="22"/>
        </w:rPr>
        <w:t xml:space="preserve"> </w:t>
      </w:r>
      <w:r w:rsidRPr="005B6825" w:rsidR="00304FF6">
        <w:rPr>
          <w:szCs w:val="22"/>
        </w:rPr>
        <w:t xml:space="preserve">received and delivered the EAS messages on </w:t>
      </w:r>
      <w:r w:rsidRPr="005B6825" w:rsidR="00CF7F47">
        <w:rPr>
          <w:szCs w:val="22"/>
        </w:rPr>
        <w:t>January 13, 2018</w:t>
      </w:r>
      <w:r w:rsidRPr="005B6825" w:rsidR="00C70D47">
        <w:rPr>
          <w:szCs w:val="22"/>
        </w:rPr>
        <w:t>.</w:t>
      </w:r>
      <w:r>
        <w:rPr>
          <w:rStyle w:val="FootnoteReference"/>
          <w:szCs w:val="22"/>
        </w:rPr>
        <w:footnoteReference w:id="93"/>
      </w:r>
      <w:r w:rsidRPr="005B6825" w:rsidR="00C70D47">
        <w:rPr>
          <w:szCs w:val="22"/>
        </w:rPr>
        <w:t xml:space="preserve"> </w:t>
      </w:r>
      <w:r w:rsidR="007E3D90">
        <w:rPr>
          <w:szCs w:val="22"/>
        </w:rPr>
        <w:t xml:space="preserve"> </w:t>
      </w:r>
      <w:r w:rsidR="00AA5C86">
        <w:rPr>
          <w:szCs w:val="22"/>
        </w:rPr>
        <w:t xml:space="preserve">Similarly, </w:t>
      </w:r>
      <w:r w:rsidR="007E3D90">
        <w:rPr>
          <w:szCs w:val="22"/>
        </w:rPr>
        <w:t xml:space="preserve">Direct Broadcast Satellite (DBS) providers Direct TV and Dish Networks </w:t>
      </w:r>
      <w:r w:rsidR="00C70D47">
        <w:rPr>
          <w:szCs w:val="22"/>
        </w:rPr>
        <w:t xml:space="preserve">indicated that </w:t>
      </w:r>
      <w:r w:rsidR="00304FF6">
        <w:rPr>
          <w:szCs w:val="22"/>
        </w:rPr>
        <w:t xml:space="preserve">on January 13, 2018, </w:t>
      </w:r>
      <w:r w:rsidR="00C70D47">
        <w:rPr>
          <w:szCs w:val="22"/>
        </w:rPr>
        <w:t xml:space="preserve">they </w:t>
      </w:r>
      <w:r w:rsidR="00304FF6">
        <w:rPr>
          <w:szCs w:val="22"/>
        </w:rPr>
        <w:t>delivered the</w:t>
      </w:r>
      <w:r w:rsidR="00DA3510">
        <w:rPr>
          <w:szCs w:val="22"/>
        </w:rPr>
        <w:t xml:space="preserve"> EAS messages aired on local television broadcast stations carried under the Commission’s broadcast signal carriage rules.</w:t>
      </w:r>
      <w:r>
        <w:rPr>
          <w:rStyle w:val="FootnoteReference"/>
          <w:szCs w:val="22"/>
        </w:rPr>
        <w:footnoteReference w:id="94"/>
      </w:r>
      <w:r w:rsidR="00C70D47">
        <w:rPr>
          <w:szCs w:val="22"/>
        </w:rPr>
        <w:t xml:space="preserve">  Sirius/XM does not provide service to Hawaii.  </w:t>
      </w:r>
      <w:r w:rsidRPr="001C7E86" w:rsidR="001C7E86">
        <w:rPr>
          <w:rStyle w:val="FootnoteReference"/>
          <w:szCs w:val="22"/>
        </w:rPr>
        <w:t xml:space="preserve"> </w:t>
      </w:r>
    </w:p>
    <w:p w:rsidR="00E9413C" w:rsidRPr="003E11EB" w:rsidP="00E9413C">
      <w:pPr>
        <w:pStyle w:val="Heading3"/>
      </w:pPr>
      <w:bookmarkStart w:id="165" w:name="_Toc505854717"/>
      <w:bookmarkStart w:id="166" w:name="_Toc507499234"/>
      <w:bookmarkStart w:id="167" w:name="_Toc511031502"/>
      <w:r>
        <w:t>WEA</w:t>
      </w:r>
      <w:bookmarkEnd w:id="165"/>
      <w:bookmarkEnd w:id="166"/>
      <w:bookmarkEnd w:id="167"/>
    </w:p>
    <w:p w:rsidR="00A23A4D" w:rsidP="00251A7A">
      <w:pPr>
        <w:pStyle w:val="ParaNum"/>
        <w:tabs>
          <w:tab w:val="num" w:pos="1440"/>
        </w:tabs>
        <w:ind w:left="0"/>
      </w:pPr>
      <w:r w:rsidRPr="002E638A">
        <w:t xml:space="preserve">The four nationwide wireless providers </w:t>
      </w:r>
      <w:r w:rsidR="00D21AC5">
        <w:t xml:space="preserve">both </w:t>
      </w:r>
      <w:r>
        <w:t xml:space="preserve">participate in WEA and </w:t>
      </w:r>
      <w:r w:rsidRPr="002E638A">
        <w:t xml:space="preserve">offer service to Hawaii </w:t>
      </w:r>
      <w:r>
        <w:t>(</w:t>
      </w:r>
      <w:r w:rsidRPr="002E638A">
        <w:t>AT&amp;T, Verizon, Sprint</w:t>
      </w:r>
      <w:r w:rsidR="000777C0">
        <w:t>,</w:t>
      </w:r>
      <w:r w:rsidRPr="002E638A">
        <w:t xml:space="preserve"> and T-Mobile</w:t>
      </w:r>
      <w:r>
        <w:t>)</w:t>
      </w:r>
      <w:r w:rsidR="00D21AC5">
        <w:t>.  E</w:t>
      </w:r>
      <w:r w:rsidRPr="004C0D67">
        <w:t xml:space="preserve">ach </w:t>
      </w:r>
      <w:r w:rsidR="00FB1FAB">
        <w:t xml:space="preserve">reported </w:t>
      </w:r>
      <w:r>
        <w:t>to FCC investigators</w:t>
      </w:r>
      <w:r w:rsidRPr="002E638A">
        <w:t xml:space="preserve"> that </w:t>
      </w:r>
      <w:r w:rsidR="00B54C3C">
        <w:t>their provision of WEA is co-extensive with their service areas</w:t>
      </w:r>
      <w:r w:rsidR="00F77B6F">
        <w:t xml:space="preserve"> in Hawaii</w:t>
      </w:r>
      <w:r w:rsidR="00B54C3C">
        <w:t xml:space="preserve">, and that </w:t>
      </w:r>
      <w:r w:rsidRPr="002E638A">
        <w:t xml:space="preserve">they received and retransmitted both the </w:t>
      </w:r>
      <w:r>
        <w:t xml:space="preserve">false </w:t>
      </w:r>
      <w:r w:rsidRPr="002E638A">
        <w:t xml:space="preserve">alert and the </w:t>
      </w:r>
      <w:r>
        <w:t xml:space="preserve">alert </w:t>
      </w:r>
      <w:r w:rsidRPr="002E638A">
        <w:t>correction</w:t>
      </w:r>
      <w:r>
        <w:t xml:space="preserve"> over WEA</w:t>
      </w:r>
      <w:r>
        <w:t xml:space="preserve"> within seconds of the delivery of the alert to the </w:t>
      </w:r>
      <w:r w:rsidR="00971DC6">
        <w:t>provider</w:t>
      </w:r>
      <w:r>
        <w:t>s by IPAWS</w:t>
      </w:r>
      <w:r w:rsidRPr="005603D1">
        <w:t>.</w:t>
      </w:r>
      <w:r>
        <w:t xml:space="preserve">  No</w:t>
      </w:r>
      <w:r w:rsidR="00090993">
        <w:t xml:space="preserve"> wireless provider</w:t>
      </w:r>
      <w:r>
        <w:t xml:space="preserve"> experienced any delay from IPAWS because, as AT&amp;T notes, the gateway from IPAWS to each wireless provider is a dedicated channel that is not subject to </w:t>
      </w:r>
      <w:r w:rsidR="00B31717">
        <w:t>I</w:t>
      </w:r>
      <w:r>
        <w:t xml:space="preserve">nternet congestion.  Similarly, WEA messages are broadcast within each </w:t>
      </w:r>
      <w:r w:rsidR="00971DC6">
        <w:t>provider</w:t>
      </w:r>
      <w:r>
        <w:t xml:space="preserve">’s network </w:t>
      </w:r>
      <w:r w:rsidR="00FB3125">
        <w:t>over cell broadcast</w:t>
      </w:r>
      <w:r w:rsidR="006860BE">
        <w:t xml:space="preserve">, a process </w:t>
      </w:r>
      <w:r w:rsidR="00FB3125">
        <w:t xml:space="preserve">separate from the </w:t>
      </w:r>
      <w:r>
        <w:t xml:space="preserve">wireless </w:t>
      </w:r>
      <w:r w:rsidR="00971DC6">
        <w:t>provider</w:t>
      </w:r>
      <w:r>
        <w:t xml:space="preserve"> networks</w:t>
      </w:r>
      <w:r w:rsidR="00FB3125">
        <w:t xml:space="preserve">, and </w:t>
      </w:r>
      <w:r w:rsidR="002869E4">
        <w:t xml:space="preserve">thus </w:t>
      </w:r>
      <w:r w:rsidR="00FB3125">
        <w:t xml:space="preserve">not subject to </w:t>
      </w:r>
      <w:r w:rsidRPr="00FB3125" w:rsidR="00FB3125">
        <w:t xml:space="preserve">wireless </w:t>
      </w:r>
      <w:r w:rsidR="00971DC6">
        <w:t>provider</w:t>
      </w:r>
      <w:r w:rsidRPr="00FB3125" w:rsidR="00FB3125">
        <w:t xml:space="preserve"> network</w:t>
      </w:r>
      <w:r w:rsidR="00FB3125">
        <w:t xml:space="preserve"> congestion</w:t>
      </w:r>
      <w:r>
        <w:t xml:space="preserve">.  </w:t>
      </w:r>
      <w:r w:rsidR="002869E4">
        <w:t xml:space="preserve">The four </w:t>
      </w:r>
      <w:r w:rsidR="00971DC6">
        <w:t>provider</w:t>
      </w:r>
      <w:r w:rsidR="002869E4">
        <w:t>s</w:t>
      </w:r>
      <w:r>
        <w:t xml:space="preserve"> note that while there was a high volume of call</w:t>
      </w:r>
      <w:r w:rsidR="002869E4">
        <w:t>s</w:t>
      </w:r>
      <w:r>
        <w:t xml:space="preserve"> on January 13</w:t>
      </w:r>
      <w:r w:rsidR="00B628C4">
        <w:t>, 2018</w:t>
      </w:r>
      <w:r>
        <w:t xml:space="preserve">, the impact of that volume on the wireless networks was not significant.  </w:t>
      </w:r>
      <w:r w:rsidR="002869E4">
        <w:t xml:space="preserve">The four </w:t>
      </w:r>
      <w:r w:rsidR="00971DC6">
        <w:t>provider</w:t>
      </w:r>
      <w:r w:rsidR="002869E4">
        <w:t>s observe that they did not experience any</w:t>
      </w:r>
      <w:r w:rsidR="006860BE">
        <w:t xml:space="preserve"> </w:t>
      </w:r>
      <w:r w:rsidR="00E07E8A">
        <w:t>latencies</w:t>
      </w:r>
      <w:r w:rsidR="00A00EFC">
        <w:t xml:space="preserve"> with respect </w:t>
      </w:r>
      <w:r w:rsidR="00C8776B">
        <w:t>to</w:t>
      </w:r>
      <w:r w:rsidR="00976CC5">
        <w:t xml:space="preserve"> </w:t>
      </w:r>
      <w:r w:rsidR="00C25052">
        <w:t>the delivery of WEA alerts on January 13</w:t>
      </w:r>
      <w:r w:rsidR="002869E4">
        <w:t>, 2018</w:t>
      </w:r>
      <w:r w:rsidR="00C25052">
        <w:t>.</w:t>
      </w:r>
      <w:r>
        <w:rPr>
          <w:rStyle w:val="FootnoteReference"/>
        </w:rPr>
        <w:footnoteReference w:id="95"/>
      </w:r>
    </w:p>
    <w:p w:rsidR="00E9413C" w:rsidP="00484C15">
      <w:pPr>
        <w:pStyle w:val="ParaNum"/>
        <w:widowControl/>
        <w:tabs>
          <w:tab w:val="num" w:pos="1440"/>
        </w:tabs>
        <w:ind w:left="0"/>
      </w:pPr>
      <w:r>
        <w:t xml:space="preserve">Although </w:t>
      </w:r>
      <w:r w:rsidR="006860BE">
        <w:t xml:space="preserve">the four major wireless providers </w:t>
      </w:r>
      <w:r w:rsidR="00FB1FAB">
        <w:t xml:space="preserve">reported that they experienced </w:t>
      </w:r>
      <w:r w:rsidR="006860BE">
        <w:t xml:space="preserve">no difficulties in their provision of the false alert or its correction over WEA, </w:t>
      </w:r>
      <w:r w:rsidR="009D6E51">
        <w:t xml:space="preserve">the </w:t>
      </w:r>
      <w:r w:rsidRPr="005C7A4C" w:rsidR="009D6E51">
        <w:rPr>
          <w:i/>
        </w:rPr>
        <w:t xml:space="preserve">Hawaii </w:t>
      </w:r>
      <w:r w:rsidRPr="005C7A4C" w:rsidR="00C83B49">
        <w:rPr>
          <w:i/>
        </w:rPr>
        <w:t>Preparedness</w:t>
      </w:r>
      <w:r w:rsidRPr="005C7A4C" w:rsidR="009D6E51">
        <w:rPr>
          <w:i/>
        </w:rPr>
        <w:t xml:space="preserve"> Report</w:t>
      </w:r>
      <w:r w:rsidR="000777C0">
        <w:t>,</w:t>
      </w:r>
      <w:r>
        <w:rPr>
          <w:rStyle w:val="FootnoteReference"/>
        </w:rPr>
        <w:footnoteReference w:id="96"/>
      </w:r>
      <w:r w:rsidR="009D6E51">
        <w:t xml:space="preserve"> as well as </w:t>
      </w:r>
      <w:r w:rsidR="00211C9E">
        <w:t xml:space="preserve">other </w:t>
      </w:r>
      <w:r w:rsidR="00C25052">
        <w:t>n</w:t>
      </w:r>
      <w:r>
        <w:t>ews media</w:t>
      </w:r>
      <w:r w:rsidR="00956CEC">
        <w:t>,</w:t>
      </w:r>
      <w:r w:rsidRPr="004C0D67">
        <w:t xml:space="preserve"> </w:t>
      </w:r>
      <w:r>
        <w:t>reports</w:t>
      </w:r>
      <w:r w:rsidR="00211C9E">
        <w:t xml:space="preserve"> that </w:t>
      </w:r>
      <w:r w:rsidRPr="004C0D67">
        <w:t xml:space="preserve">some </w:t>
      </w:r>
      <w:r>
        <w:t xml:space="preserve">subscriber </w:t>
      </w:r>
      <w:r w:rsidRPr="004C0D67">
        <w:t xml:space="preserve">mobile devices </w:t>
      </w:r>
      <w:r>
        <w:t>did not receive the false or corrected alert</w:t>
      </w:r>
      <w:r w:rsidRPr="004C0D67">
        <w:t xml:space="preserve"> messages.</w:t>
      </w:r>
      <w:r>
        <w:rPr>
          <w:rStyle w:val="FootnoteReference"/>
        </w:rPr>
        <w:footnoteReference w:id="97"/>
      </w:r>
      <w:r w:rsidRPr="002E638A">
        <w:t xml:space="preserve">  </w:t>
      </w:r>
      <w:r w:rsidR="00AD3573">
        <w:t>I</w:t>
      </w:r>
      <w:r w:rsidR="00956CEC">
        <w:t xml:space="preserve">t </w:t>
      </w:r>
      <w:r w:rsidR="00AD3573">
        <w:t xml:space="preserve">also </w:t>
      </w:r>
      <w:r w:rsidR="00956CEC">
        <w:t xml:space="preserve">has been reported that consumers who </w:t>
      </w:r>
      <w:r w:rsidRPr="00EE7A85">
        <w:t xml:space="preserve">did not receive the false alert, the correction, or both, </w:t>
      </w:r>
      <w:r w:rsidR="00C25052">
        <w:t>we</w:t>
      </w:r>
      <w:r>
        <w:t>re</w:t>
      </w:r>
      <w:r w:rsidRPr="00EE7A85">
        <w:t xml:space="preserve"> concerned about their ability to receive similarly urgent alerts in the future.</w:t>
      </w:r>
      <w:r>
        <w:rPr>
          <w:rStyle w:val="FootnoteReference"/>
        </w:rPr>
        <w:footnoteReference w:id="98"/>
      </w:r>
      <w:r w:rsidRPr="00EE7A85">
        <w:t xml:space="preserve">  </w:t>
      </w:r>
      <w:r w:rsidR="00BF46DC">
        <w:t xml:space="preserve">The </w:t>
      </w:r>
      <w:r w:rsidRPr="005C7A4C" w:rsidR="00BF46DC">
        <w:rPr>
          <w:i/>
        </w:rPr>
        <w:t xml:space="preserve">Hawaii </w:t>
      </w:r>
      <w:r w:rsidR="00C83B49">
        <w:rPr>
          <w:i/>
        </w:rPr>
        <w:t>Preparedness</w:t>
      </w:r>
      <w:r w:rsidRPr="005C7A4C" w:rsidR="00BF46DC">
        <w:rPr>
          <w:i/>
        </w:rPr>
        <w:t xml:space="preserve"> Report</w:t>
      </w:r>
      <w:r w:rsidR="00BF46DC">
        <w:t xml:space="preserve"> further observed that “[c]itizens in certain locations did not have access to WEA or other alert notification services and were unaware of the missile alert.”</w:t>
      </w:r>
      <w:r>
        <w:rPr>
          <w:rStyle w:val="FootnoteReference"/>
        </w:rPr>
        <w:footnoteReference w:id="99"/>
      </w:r>
      <w:r w:rsidR="00BF46DC">
        <w:t xml:space="preserve">  </w:t>
      </w:r>
      <w:r w:rsidR="000F7EB8">
        <w:t>T</w:t>
      </w:r>
      <w:r w:rsidR="00544707">
        <w:t xml:space="preserve">he Bureau </w:t>
      </w:r>
      <w:r>
        <w:t>identif</w:t>
      </w:r>
      <w:r w:rsidR="00544707">
        <w:t xml:space="preserve">ies </w:t>
      </w:r>
      <w:r w:rsidRPr="002E638A">
        <w:t xml:space="preserve">several potential reasons </w:t>
      </w:r>
      <w:r w:rsidR="00D47E47">
        <w:t xml:space="preserve">why </w:t>
      </w:r>
      <w:r>
        <w:t xml:space="preserve">some </w:t>
      </w:r>
      <w:r w:rsidR="00976CC5">
        <w:t xml:space="preserve">wireless </w:t>
      </w:r>
      <w:r>
        <w:t>subscribers may not have received the alert or correction</w:t>
      </w:r>
      <w:r w:rsidR="000F7EB8">
        <w:t xml:space="preserve"> below, but continues to study the issue</w:t>
      </w:r>
      <w:r w:rsidRPr="002E638A">
        <w:t>.</w:t>
      </w:r>
      <w:r w:rsidRPr="004C0D67">
        <w:t xml:space="preserve"> </w:t>
      </w:r>
    </w:p>
    <w:p w:rsidR="00E9413C" w:rsidP="007365B3">
      <w:pPr>
        <w:pStyle w:val="ParaNum"/>
        <w:ind w:left="0"/>
      </w:pPr>
      <w:r w:rsidRPr="00055421">
        <w:t>First</w:t>
      </w:r>
      <w:r w:rsidRPr="0001440B">
        <w:t>,</w:t>
      </w:r>
      <w:r>
        <w:t xml:space="preserve"> </w:t>
      </w:r>
      <w:r w:rsidR="009D6E51">
        <w:t xml:space="preserve">as noted earlier, </w:t>
      </w:r>
      <w:r w:rsidRPr="004C0D67">
        <w:t>wireless providers that participate in WEA may choose to do so only “in part.”</w:t>
      </w:r>
      <w:r>
        <w:rPr>
          <w:rStyle w:val="FootnoteReference"/>
        </w:rPr>
        <w:footnoteReference w:id="100"/>
      </w:r>
      <w:r w:rsidRPr="004C0D67">
        <w:t xml:space="preserve"> </w:t>
      </w:r>
      <w:r w:rsidRPr="00280870">
        <w:t xml:space="preserve"> </w:t>
      </w:r>
      <w:r w:rsidRPr="004C0D67">
        <w:t>AT&amp;T, Verizon, Sprint</w:t>
      </w:r>
      <w:r w:rsidR="000777C0">
        <w:t>,</w:t>
      </w:r>
      <w:r w:rsidRPr="004C0D67">
        <w:t xml:space="preserve"> and T-Mobile participate in WEA “in part.”  </w:t>
      </w:r>
      <w:r>
        <w:t>Accordingly, WEA need not be offered across the entirety of these providers’ geographic coverage areas or be available on all of their mobile devices.</w:t>
      </w:r>
      <w:r>
        <w:rPr>
          <w:rStyle w:val="FootnoteReference"/>
        </w:rPr>
        <w:footnoteReference w:id="101"/>
      </w:r>
      <w:r>
        <w:t xml:space="preserve">  </w:t>
      </w:r>
      <w:r w:rsidR="000466CE">
        <w:t xml:space="preserve">While </w:t>
      </w:r>
      <w:r w:rsidRPr="004C0D67">
        <w:t xml:space="preserve">the </w:t>
      </w:r>
      <w:r>
        <w:t xml:space="preserve">four nationwide </w:t>
      </w:r>
      <w:r w:rsidRPr="004C0D67">
        <w:t xml:space="preserve">wireless providers </w:t>
      </w:r>
      <w:r w:rsidR="000466CE">
        <w:t>state that their provision of WEA is coextensive with their coverage area</w:t>
      </w:r>
      <w:r w:rsidR="00DD3D3C">
        <w:t xml:space="preserve"> in Hawaii</w:t>
      </w:r>
      <w:r w:rsidR="000466CE">
        <w:t xml:space="preserve">, they </w:t>
      </w:r>
      <w:r w:rsidRPr="004C0D67">
        <w:t>acknowledge that there may be areas, such as state parks or other coverage dead zones, where they either do not provide service, or where service is intermittent.</w:t>
      </w:r>
      <w:r>
        <w:rPr>
          <w:rStyle w:val="FootnoteReference"/>
        </w:rPr>
        <w:footnoteReference w:id="102"/>
      </w:r>
      <w:r w:rsidRPr="004C0D67">
        <w:t xml:space="preserve">  </w:t>
      </w:r>
      <w:r w:rsidR="0038292C">
        <w:t>Finally, t</w:t>
      </w:r>
      <w:r w:rsidR="00544707">
        <w:t xml:space="preserve">he Bureau </w:t>
      </w:r>
      <w:r w:rsidRPr="00524607" w:rsidR="00524607">
        <w:t>do</w:t>
      </w:r>
      <w:r w:rsidR="00544707">
        <w:t>es</w:t>
      </w:r>
      <w:r w:rsidRPr="00524607" w:rsidR="00524607">
        <w:t xml:space="preserve"> not have information regarding how </w:t>
      </w:r>
      <w:r w:rsidR="003D28FD">
        <w:t>many members of the pu</w:t>
      </w:r>
      <w:r w:rsidR="007B5CB4">
        <w:t xml:space="preserve">blic </w:t>
      </w:r>
      <w:r w:rsidR="002034BB">
        <w:t xml:space="preserve">do not </w:t>
      </w:r>
      <w:r w:rsidR="00C86728">
        <w:t>have</w:t>
      </w:r>
      <w:r w:rsidR="007B5CB4">
        <w:t xml:space="preserve"> WEA-</w:t>
      </w:r>
      <w:r w:rsidR="004D6846">
        <w:t xml:space="preserve">capable </w:t>
      </w:r>
      <w:r w:rsidR="00C86728">
        <w:t xml:space="preserve">mobile </w:t>
      </w:r>
      <w:r w:rsidR="007B5CB4">
        <w:t>devices</w:t>
      </w:r>
      <w:r w:rsidR="003D28FD">
        <w:t>.</w:t>
      </w:r>
      <w:r w:rsidRPr="004C0D67">
        <w:t xml:space="preserve">  </w:t>
      </w:r>
    </w:p>
    <w:p w:rsidR="00E9413C" w:rsidRPr="00132CFF" w:rsidP="00E07E8A">
      <w:pPr>
        <w:pStyle w:val="ParaNum"/>
        <w:tabs>
          <w:tab w:val="num" w:pos="1440"/>
        </w:tabs>
        <w:ind w:left="0"/>
      </w:pPr>
      <w:r>
        <w:t>Second, HI-EMA cancelled the false ballistic missile alert at 8:1</w:t>
      </w:r>
      <w:r w:rsidR="00A964C2">
        <w:t>2</w:t>
      </w:r>
      <w:r>
        <w:t xml:space="preserve"> a.m.  The cancellation would have prevented the false alert from being broadcast to </w:t>
      </w:r>
      <w:r w:rsidR="004356C5">
        <w:t xml:space="preserve">those </w:t>
      </w:r>
      <w:r>
        <w:t>mobile devices</w:t>
      </w:r>
      <w:r w:rsidR="004356C5">
        <w:t xml:space="preserve"> not connected to the network at the time the false alert was issued</w:t>
      </w:r>
      <w:r w:rsidR="00524B00">
        <w:t>—</w:t>
      </w:r>
      <w:r>
        <w:t>such as phones turned off at 8:07 a</w:t>
      </w:r>
      <w:r w:rsidR="009511E9">
        <w:t>.</w:t>
      </w:r>
      <w:r>
        <w:t>m</w:t>
      </w:r>
      <w:r w:rsidR="009511E9">
        <w:t>.</w:t>
      </w:r>
      <w:r>
        <w:t>, or phones out of cell coverage or on airplane mode</w:t>
      </w:r>
      <w:r w:rsidR="00524B00">
        <w:t>—</w:t>
      </w:r>
      <w:r w:rsidR="00621BF4">
        <w:t xml:space="preserve">and which </w:t>
      </w:r>
      <w:r w:rsidRPr="004356C5" w:rsidR="004356C5">
        <w:t>remained unconnected through the time the cancellation was transmitted</w:t>
      </w:r>
      <w:r w:rsidR="00646DBE">
        <w:rPr>
          <w:rStyle w:val="FootnoteReference"/>
          <w:sz w:val="22"/>
          <w:vertAlign w:val="baseline"/>
        </w:rPr>
        <w:t>.</w:t>
      </w:r>
      <w:r>
        <w:rPr>
          <w:rStyle w:val="FootnoteReference"/>
        </w:rPr>
        <w:footnoteReference w:id="103"/>
      </w:r>
      <w:r>
        <w:t xml:space="preserve">  </w:t>
      </w:r>
      <w:r w:rsidR="0014139C">
        <w:t>Alert re-</w:t>
      </w:r>
      <w:r w:rsidR="004204A4">
        <w:t>t</w:t>
      </w:r>
      <w:r w:rsidR="00C32164">
        <w:t xml:space="preserve">ransmission times differ among wireless providers; </w:t>
      </w:r>
      <w:r>
        <w:t>some P</w:t>
      </w:r>
      <w:r w:rsidRPr="004C0D67">
        <w:t xml:space="preserve">articipating </w:t>
      </w:r>
      <w:r>
        <w:t>CMS Providers</w:t>
      </w:r>
      <w:r w:rsidRPr="004C0D67">
        <w:t xml:space="preserve"> transmit WEA alerts at regular intervals throughout the valid period of the alert, </w:t>
      </w:r>
      <w:r w:rsidR="00C32164">
        <w:t xml:space="preserve">but </w:t>
      </w:r>
      <w:r w:rsidRPr="004C0D67">
        <w:t xml:space="preserve">applicable standards do not define the frequency of alert retransmission and allow </w:t>
      </w:r>
      <w:r>
        <w:t>Participating CMS P</w:t>
      </w:r>
      <w:r w:rsidRPr="004C0D67">
        <w:t>roviders to cease retransmission prior to the alert’s expiration.</w:t>
      </w:r>
      <w:r>
        <w:rPr>
          <w:rStyle w:val="FootnoteReference"/>
        </w:rPr>
        <w:footnoteReference w:id="104"/>
      </w:r>
      <w:r w:rsidR="004204A4">
        <w:t xml:space="preserve">  </w:t>
      </w:r>
      <w:r w:rsidR="00524B00">
        <w:t>T</w:t>
      </w:r>
      <w:r w:rsidR="004204A4">
        <w:t>he cancellation</w:t>
      </w:r>
      <w:r w:rsidR="00533B3D">
        <w:t>, however,</w:t>
      </w:r>
      <w:r w:rsidR="004204A4">
        <w:t xml:space="preserve"> </w:t>
      </w:r>
      <w:r w:rsidRPr="00C32164" w:rsidR="00C32164">
        <w:t xml:space="preserve">would not have prevented </w:t>
      </w:r>
      <w:r w:rsidR="004204A4">
        <w:t xml:space="preserve">wireless customers from receiving </w:t>
      </w:r>
      <w:r w:rsidRPr="00C32164" w:rsidR="00C32164">
        <w:t>the correction alert</w:t>
      </w:r>
      <w:r w:rsidR="00533B3D">
        <w:t xml:space="preserve"> at 8:45 a.m</w:t>
      </w:r>
      <w:r w:rsidR="00A66BA8">
        <w:t>.</w:t>
      </w:r>
      <w:r w:rsidR="00A8642B">
        <w:t xml:space="preserve"> (HST)</w:t>
      </w:r>
      <w:r w:rsidR="00A66BA8">
        <w:t>, assuming that customers</w:t>
      </w:r>
      <w:r w:rsidR="00661103">
        <w:t>’</w:t>
      </w:r>
      <w:r w:rsidR="00A66BA8">
        <w:t xml:space="preserve"> </w:t>
      </w:r>
      <w:r w:rsidR="00661103">
        <w:t xml:space="preserve">mobile devices </w:t>
      </w:r>
      <w:r w:rsidR="00A66BA8">
        <w:t xml:space="preserve">were turned on </w:t>
      </w:r>
      <w:r w:rsidR="00661103">
        <w:t xml:space="preserve">and </w:t>
      </w:r>
      <w:r w:rsidR="00A66BA8">
        <w:t>connected to the network during the times the correction alert was issued.</w:t>
      </w:r>
      <w:r w:rsidRPr="004C0D67">
        <w:t xml:space="preserve">  </w:t>
      </w:r>
      <w:r w:rsidRPr="002E638A">
        <w:t>Fi</w:t>
      </w:r>
      <w:r>
        <w:t>nally</w:t>
      </w:r>
      <w:r w:rsidRPr="002E638A">
        <w:t xml:space="preserve">, </w:t>
      </w:r>
      <w:r>
        <w:t>consumers</w:t>
      </w:r>
      <w:r w:rsidRPr="002E638A">
        <w:t xml:space="preserve"> have the option to opt out of receiving </w:t>
      </w:r>
      <w:r w:rsidR="003C0559">
        <w:t xml:space="preserve">all </w:t>
      </w:r>
      <w:r w:rsidRPr="002E638A">
        <w:t>WEA alerts</w:t>
      </w:r>
      <w:r w:rsidR="003C0559">
        <w:t xml:space="preserve"> except those </w:t>
      </w:r>
      <w:r w:rsidR="00D641D2">
        <w:t xml:space="preserve">issued by the President or </w:t>
      </w:r>
      <w:r w:rsidR="003C0559">
        <w:t>President</w:t>
      </w:r>
      <w:r w:rsidR="00D641D2">
        <w:t>’s designee</w:t>
      </w:r>
      <w:r w:rsidRPr="002E638A">
        <w:t>.</w:t>
      </w:r>
      <w:r>
        <w:rPr>
          <w:rStyle w:val="FootnoteReference"/>
        </w:rPr>
        <w:footnoteReference w:id="105"/>
      </w:r>
      <w:r w:rsidRPr="004C0D67">
        <w:t xml:space="preserve">  </w:t>
      </w:r>
      <w:r>
        <w:t>Consumers</w:t>
      </w:r>
      <w:r w:rsidRPr="004C0D67">
        <w:t xml:space="preserve"> who opted out of receiving imminent threat alerts would not have received either the </w:t>
      </w:r>
      <w:r w:rsidR="003C0559">
        <w:t xml:space="preserve">false </w:t>
      </w:r>
      <w:r w:rsidRPr="004C0D67">
        <w:t>alert or the correction.</w:t>
      </w:r>
      <w:r>
        <w:rPr>
          <w:rStyle w:val="FootnoteReference"/>
        </w:rPr>
        <w:footnoteReference w:id="106"/>
      </w:r>
      <w:r w:rsidRPr="009405E4" w:rsidR="004B18EC">
        <w:rPr>
          <w:rStyle w:val="FootnoteReference"/>
        </w:rPr>
        <w:t xml:space="preserve"> </w:t>
      </w:r>
    </w:p>
    <w:p w:rsidR="00E9413C" w:rsidP="00E652A9">
      <w:pPr>
        <w:pStyle w:val="Heading2"/>
      </w:pPr>
      <w:bookmarkStart w:id="169" w:name="_Toc507499235"/>
      <w:bookmarkStart w:id="170" w:name="_Toc511031503"/>
      <w:r>
        <w:t xml:space="preserve">Impact on </w:t>
      </w:r>
      <w:r w:rsidR="007D4317">
        <w:t xml:space="preserve">Public Safety </w:t>
      </w:r>
      <w:r>
        <w:t>Communications Networks and Services</w:t>
      </w:r>
      <w:bookmarkEnd w:id="169"/>
      <w:bookmarkEnd w:id="170"/>
    </w:p>
    <w:p w:rsidR="003D3FBA" w:rsidP="00737BC1">
      <w:pPr>
        <w:pStyle w:val="Heading3"/>
      </w:pPr>
      <w:bookmarkStart w:id="171" w:name="_Toc507499236"/>
      <w:bookmarkStart w:id="172" w:name="_Toc511031504"/>
      <w:r>
        <w:t xml:space="preserve">Police and </w:t>
      </w:r>
      <w:r>
        <w:t>911</w:t>
      </w:r>
      <w:r w:rsidR="0026166F">
        <w:t xml:space="preserve"> </w:t>
      </w:r>
      <w:r>
        <w:t>Response</w:t>
      </w:r>
      <w:bookmarkEnd w:id="171"/>
      <w:bookmarkEnd w:id="172"/>
    </w:p>
    <w:p w:rsidR="003D3FBA" w:rsidRPr="003D3FBA" w:rsidP="00E24698">
      <w:pPr>
        <w:pStyle w:val="ParaNum"/>
        <w:ind w:left="0"/>
      </w:pPr>
      <w:r>
        <w:t>The Bureau’s investigation shows that 911 operators and police both stayed on duty during the period that the alert appeared to be real</w:t>
      </w:r>
      <w:r w:rsidR="00247544">
        <w:t xml:space="preserve"> to the public</w:t>
      </w:r>
      <w:r w:rsidR="00390616">
        <w:t>, and o</w:t>
      </w:r>
      <w:r>
        <w:t xml:space="preserve">nce </w:t>
      </w:r>
      <w:r w:rsidR="00390616">
        <w:t xml:space="preserve">it became apparent </w:t>
      </w:r>
      <w:r w:rsidR="00247544">
        <w:t xml:space="preserve">to police </w:t>
      </w:r>
      <w:r w:rsidR="00390616">
        <w:t xml:space="preserve">that the alert was false, took extraordinary steps to </w:t>
      </w:r>
      <w:r>
        <w:t xml:space="preserve">inform the public that the alert was false during the 38-minute interval between the false alert and the corrected alert message.  </w:t>
      </w:r>
      <w:r w:rsidR="00776133">
        <w:t xml:space="preserve">The Bureau’s </w:t>
      </w:r>
      <w:r w:rsidR="0026166F">
        <w:t>investigation</w:t>
      </w:r>
      <w:r w:rsidR="00817496">
        <w:t xml:space="preserve"> and the </w:t>
      </w:r>
      <w:r w:rsidRPr="005C7A4C" w:rsidR="00817496">
        <w:rPr>
          <w:i/>
        </w:rPr>
        <w:t>HI-EMA Report</w:t>
      </w:r>
      <w:r w:rsidR="00817496">
        <w:t xml:space="preserve"> indicate</w:t>
      </w:r>
      <w:r>
        <w:t xml:space="preserve"> </w:t>
      </w:r>
      <w:r w:rsidR="00817496">
        <w:t xml:space="preserve">that </w:t>
      </w:r>
      <w:r>
        <w:t xml:space="preserve">HI-EMA </w:t>
      </w:r>
      <w:r w:rsidR="0026166F">
        <w:t>notified</w:t>
      </w:r>
      <w:r>
        <w:t xml:space="preserve"> the counties and the Honolulu Police Department that HI-EMA </w:t>
      </w:r>
      <w:r w:rsidR="00B15571">
        <w:t xml:space="preserve">had </w:t>
      </w:r>
      <w:r>
        <w:t xml:space="preserve">erroneously sent a ballistic missile alert.  </w:t>
      </w:r>
      <w:r w:rsidR="008078BF">
        <w:t xml:space="preserve">According to </w:t>
      </w:r>
      <w:r>
        <w:t>911 audio recordings</w:t>
      </w:r>
      <w:r w:rsidR="007067E6">
        <w:t>,</w:t>
      </w:r>
      <w:r w:rsidR="00496A10">
        <w:t xml:space="preserve"> within approximately five minutes of the false alert</w:t>
      </w:r>
      <w:r w:rsidR="001034FF">
        <w:t xml:space="preserve"> </w:t>
      </w:r>
      <w:r>
        <w:t xml:space="preserve">911 </w:t>
      </w:r>
      <w:r>
        <w:t xml:space="preserve">dispatchers </w:t>
      </w:r>
      <w:r>
        <w:t>inform</w:t>
      </w:r>
      <w:r w:rsidR="00A91A33">
        <w:t>ed</w:t>
      </w:r>
      <w:r>
        <w:t xml:space="preserve"> </w:t>
      </w:r>
      <w:r w:rsidR="00A91A33">
        <w:t>police officers</w:t>
      </w:r>
      <w:r>
        <w:t xml:space="preserve"> </w:t>
      </w:r>
      <w:r w:rsidR="00D873D7">
        <w:t>that HI-EMA was working on a correction</w:t>
      </w:r>
      <w:r w:rsidR="001034FF">
        <w:t>.</w:t>
      </w:r>
      <w:r>
        <w:rPr>
          <w:rStyle w:val="FootnoteReference"/>
        </w:rPr>
        <w:footnoteReference w:id="107"/>
      </w:r>
      <w:r>
        <w:t xml:space="preserve"> </w:t>
      </w:r>
      <w:r w:rsidR="00F1661D">
        <w:t xml:space="preserve"> </w:t>
      </w:r>
      <w:r w:rsidR="001034FF">
        <w:t>P</w:t>
      </w:r>
      <w:r w:rsidR="00286972">
        <w:t xml:space="preserve">olice </w:t>
      </w:r>
      <w:r>
        <w:t xml:space="preserve">officers </w:t>
      </w:r>
      <w:r w:rsidRPr="00CB0B5D">
        <w:t>us</w:t>
      </w:r>
      <w:r w:rsidR="00A91A33">
        <w:t>ed</w:t>
      </w:r>
      <w:r w:rsidRPr="00CB0B5D">
        <w:t xml:space="preserve"> their vehicle </w:t>
      </w:r>
      <w:r>
        <w:t xml:space="preserve">public address </w:t>
      </w:r>
      <w:r w:rsidRPr="00CB0B5D">
        <w:t>system to announce the all clear</w:t>
      </w:r>
      <w:r w:rsidR="00A91A33">
        <w:t xml:space="preserve"> to the public</w:t>
      </w:r>
      <w:r>
        <w:t>.</w:t>
      </w:r>
      <w:r>
        <w:rPr>
          <w:rStyle w:val="FootnoteReference"/>
        </w:rPr>
        <w:footnoteReference w:id="108"/>
      </w:r>
      <w:r w:rsidR="00AF6167">
        <w:t xml:space="preserve">  Although</w:t>
      </w:r>
      <w:r w:rsidR="00EC24B0">
        <w:t xml:space="preserve"> 911 dispatchers and police officers worked to relay to the public that H</w:t>
      </w:r>
      <w:r w:rsidR="0028125D">
        <w:t xml:space="preserve">awaii was not under attack, </w:t>
      </w:r>
      <w:r w:rsidR="00AF6167">
        <w:t>many calls from the public to 911 for information did not get through.</w:t>
      </w:r>
      <w:r>
        <w:rPr>
          <w:rStyle w:val="FootnoteReference"/>
        </w:rPr>
        <w:footnoteReference w:id="109"/>
      </w:r>
      <w:r w:rsidR="00390616">
        <w:t xml:space="preserve">  </w:t>
      </w:r>
      <w:r>
        <w:t>The State of Haw</w:t>
      </w:r>
      <w:r w:rsidR="00D873D7">
        <w:t xml:space="preserve">aii </w:t>
      </w:r>
      <w:r w:rsidR="00837804">
        <w:t>Enhanced 911 Board</w:t>
      </w:r>
      <w:r w:rsidR="0026166F">
        <w:t>’s Executive Director</w:t>
      </w:r>
      <w:r w:rsidR="00AF6167">
        <w:t xml:space="preserve"> </w:t>
      </w:r>
      <w:r>
        <w:t>indicated that</w:t>
      </w:r>
      <w:r w:rsidR="00D873D7">
        <w:t xml:space="preserve"> on January 13, 2018, </w:t>
      </w:r>
      <w:r w:rsidR="00247544">
        <w:t>be</w:t>
      </w:r>
      <w:r w:rsidR="006D0B8D">
        <w:t xml:space="preserve">tween 8 a.m. </w:t>
      </w:r>
      <w:r w:rsidR="004208D0">
        <w:t xml:space="preserve">(HST) </w:t>
      </w:r>
      <w:r w:rsidR="006D0B8D">
        <w:t>and 9</w:t>
      </w:r>
      <w:r w:rsidR="00247544">
        <w:t xml:space="preserve"> a.m.</w:t>
      </w:r>
      <w:r w:rsidR="004208D0">
        <w:t xml:space="preserve"> (HST)</w:t>
      </w:r>
      <w:r w:rsidR="000145E6">
        <w:t xml:space="preserve">, </w:t>
      </w:r>
      <w:r w:rsidR="007C141E">
        <w:t xml:space="preserve">local </w:t>
      </w:r>
      <w:r w:rsidR="006135FF">
        <w:t>P</w:t>
      </w:r>
      <w:r w:rsidR="007067E6">
        <w:t xml:space="preserve">ublic </w:t>
      </w:r>
      <w:r w:rsidR="006135FF">
        <w:t>S</w:t>
      </w:r>
      <w:r w:rsidR="007067E6">
        <w:t xml:space="preserve">afety </w:t>
      </w:r>
      <w:r w:rsidR="006135FF">
        <w:t>A</w:t>
      </w:r>
      <w:r w:rsidR="007067E6">
        <w:t xml:space="preserve">nswering </w:t>
      </w:r>
      <w:r w:rsidR="006135FF">
        <w:t>P</w:t>
      </w:r>
      <w:r w:rsidR="007067E6">
        <w:t>oint</w:t>
      </w:r>
      <w:r w:rsidR="003C0559">
        <w:t>s</w:t>
      </w:r>
      <w:r w:rsidR="006135FF">
        <w:t xml:space="preserve"> </w:t>
      </w:r>
      <w:r w:rsidR="00023C15">
        <w:t xml:space="preserve">(PSAP) </w:t>
      </w:r>
      <w:r w:rsidR="007067E6">
        <w:t xml:space="preserve">across the entire state </w:t>
      </w:r>
      <w:r w:rsidR="006135FF">
        <w:t xml:space="preserve">received approximately </w:t>
      </w:r>
      <w:r w:rsidR="00AB19BC">
        <w:t>7,</w:t>
      </w:r>
      <w:r w:rsidRPr="006D0B8D" w:rsidR="006D0B8D">
        <w:t>755</w:t>
      </w:r>
      <w:r w:rsidRPr="00FE0E38" w:rsidR="00E24698">
        <w:t xml:space="preserve"> </w:t>
      </w:r>
      <w:r w:rsidR="007C141E">
        <w:t>wireline</w:t>
      </w:r>
      <w:r w:rsidR="00AB19BC">
        <w:t xml:space="preserve"> and wireless </w:t>
      </w:r>
      <w:r w:rsidRPr="00FE0E38" w:rsidR="00E24698">
        <w:t xml:space="preserve">911 </w:t>
      </w:r>
      <w:r w:rsidR="00D873D7">
        <w:t>calls,</w:t>
      </w:r>
      <w:r w:rsidRPr="00612F5B" w:rsidR="00612F5B">
        <w:t xml:space="preserve"> </w:t>
      </w:r>
      <w:r w:rsidR="00612F5B">
        <w:t>compared to more typical Saturday morning call volume ranging between 250-350 911 calls.</w:t>
      </w:r>
      <w:r>
        <w:rPr>
          <w:rStyle w:val="FootnoteReference"/>
        </w:rPr>
        <w:footnoteReference w:id="110"/>
      </w:r>
      <w:r w:rsidR="00612F5B">
        <w:t xml:space="preserve">  Given the surge in 911 call volume, 2,660 of these calls were not answered by call takers.</w:t>
      </w:r>
      <w:r>
        <w:rPr>
          <w:rStyle w:val="FootnoteReference"/>
        </w:rPr>
        <w:footnoteReference w:id="111"/>
      </w:r>
      <w:r>
        <w:t xml:space="preserve"> </w:t>
      </w:r>
      <w:r w:rsidR="00D873D7">
        <w:t xml:space="preserve"> The </w:t>
      </w:r>
      <w:r w:rsidR="0026166F">
        <w:t>Enhanced E-911 Board’s Executive Director</w:t>
      </w:r>
      <w:r w:rsidR="00D873D7">
        <w:t xml:space="preserve"> added that </w:t>
      </w:r>
      <w:r w:rsidR="002C2D38">
        <w:t>while</w:t>
      </w:r>
      <w:r w:rsidR="00D873D7">
        <w:t xml:space="preserve"> </w:t>
      </w:r>
      <w:r w:rsidR="006D0B8D">
        <w:t>762</w:t>
      </w:r>
      <w:r w:rsidRPr="00FE0E38" w:rsidR="00247544">
        <w:t xml:space="preserve"> </w:t>
      </w:r>
      <w:r w:rsidR="00AB19BC">
        <w:t xml:space="preserve">wireless </w:t>
      </w:r>
      <w:r w:rsidRPr="00FE0E38" w:rsidR="00E24698">
        <w:t xml:space="preserve">911 </w:t>
      </w:r>
      <w:r w:rsidR="00D873D7">
        <w:t>calls were ro</w:t>
      </w:r>
      <w:r w:rsidR="002C2D38">
        <w:t>uted to a back-up PSAP system,</w:t>
      </w:r>
      <w:r w:rsidR="00D873D7">
        <w:t xml:space="preserve"> some of those calls </w:t>
      </w:r>
      <w:r w:rsidR="002C2D38">
        <w:t xml:space="preserve">went </w:t>
      </w:r>
      <w:r w:rsidR="00ED47FB">
        <w:t>unanswered</w:t>
      </w:r>
      <w:r w:rsidR="00D873D7">
        <w:t>.</w:t>
      </w:r>
      <w:r>
        <w:rPr>
          <w:rStyle w:val="FootnoteReference"/>
        </w:rPr>
        <w:footnoteReference w:id="112"/>
      </w:r>
      <w:r w:rsidR="0028125D">
        <w:t xml:space="preserve">  </w:t>
      </w:r>
    </w:p>
    <w:p w:rsidR="00737BC1" w:rsidRPr="00737BC1" w:rsidP="00737BC1">
      <w:pPr>
        <w:pStyle w:val="Heading3"/>
      </w:pPr>
      <w:bookmarkStart w:id="173" w:name="_Toc507499237"/>
      <w:bookmarkStart w:id="174" w:name="_Toc511031505"/>
      <w:r>
        <w:t>Priority Telecommunications Services</w:t>
      </w:r>
      <w:bookmarkEnd w:id="173"/>
      <w:bookmarkEnd w:id="174"/>
    </w:p>
    <w:p w:rsidR="00E9413C" w:rsidRPr="002F5451" w:rsidP="00E9413C">
      <w:pPr>
        <w:pStyle w:val="ParaNum"/>
        <w:tabs>
          <w:tab w:val="num" w:pos="1440"/>
        </w:tabs>
        <w:ind w:left="0"/>
        <w:rPr>
          <w:szCs w:val="22"/>
        </w:rPr>
      </w:pPr>
      <w:r>
        <w:rPr>
          <w:szCs w:val="22"/>
        </w:rPr>
        <w:t>State and local officials, as well as HI-EMA</w:t>
      </w:r>
      <w:r w:rsidR="00DC442F">
        <w:rPr>
          <w:szCs w:val="22"/>
        </w:rPr>
        <w:t>,</w:t>
      </w:r>
      <w:r>
        <w:rPr>
          <w:szCs w:val="22"/>
        </w:rPr>
        <w:t xml:space="preserve"> </w:t>
      </w:r>
      <w:r w:rsidR="0026166F">
        <w:rPr>
          <w:szCs w:val="22"/>
        </w:rPr>
        <w:t xml:space="preserve">also </w:t>
      </w:r>
      <w:r>
        <w:rPr>
          <w:szCs w:val="22"/>
        </w:rPr>
        <w:t xml:space="preserve">struggled to notify the public that the ballistic missile alert was erroneous.  </w:t>
      </w:r>
      <w:r>
        <w:t xml:space="preserve">The </w:t>
      </w:r>
      <w:r w:rsidRPr="003F35BA">
        <w:rPr>
          <w:i/>
        </w:rPr>
        <w:t xml:space="preserve">Hawaii </w:t>
      </w:r>
      <w:r w:rsidR="006F55F8">
        <w:rPr>
          <w:i/>
        </w:rPr>
        <w:t>Preparedness</w:t>
      </w:r>
      <w:r w:rsidRPr="003F35BA">
        <w:rPr>
          <w:i/>
        </w:rPr>
        <w:t xml:space="preserve"> Report</w:t>
      </w:r>
      <w:r>
        <w:t xml:space="preserve"> observed that “[k]ey government personnel were unable to communicate with each other on January 13, 2018[,] because wireless networks were saturated.”</w:t>
      </w:r>
      <w:r>
        <w:rPr>
          <w:rStyle w:val="FootnoteReference"/>
        </w:rPr>
        <w:footnoteReference w:id="113"/>
      </w:r>
      <w:r>
        <w:t xml:space="preserve"> </w:t>
      </w:r>
      <w:r w:rsidR="006D7E84">
        <w:t xml:space="preserve"> </w:t>
      </w:r>
      <w:r>
        <w:t>Regarding HI-</w:t>
      </w:r>
      <w:r w:rsidRPr="002F5451">
        <w:rPr>
          <w:szCs w:val="22"/>
        </w:rPr>
        <w:t xml:space="preserve">EMA, the Bureau’s investigation found that the surge in phone calls </w:t>
      </w:r>
      <w:r w:rsidR="00A65B64">
        <w:rPr>
          <w:szCs w:val="22"/>
        </w:rPr>
        <w:t xml:space="preserve">from the public </w:t>
      </w:r>
      <w:r w:rsidRPr="002F5451">
        <w:rPr>
          <w:szCs w:val="22"/>
        </w:rPr>
        <w:t xml:space="preserve">into HI-EMA’s phone lines overwhelmed </w:t>
      </w:r>
      <w:r w:rsidR="008F1DE5">
        <w:rPr>
          <w:szCs w:val="22"/>
        </w:rPr>
        <w:t xml:space="preserve">the agency’s </w:t>
      </w:r>
      <w:r w:rsidRPr="002F5451">
        <w:rPr>
          <w:szCs w:val="22"/>
        </w:rPr>
        <w:t xml:space="preserve">limited staff and contributed to delays in answering </w:t>
      </w:r>
      <w:r w:rsidR="008F1DE5">
        <w:rPr>
          <w:szCs w:val="22"/>
        </w:rPr>
        <w:t>p</w:t>
      </w:r>
      <w:r w:rsidRPr="002F5451">
        <w:rPr>
          <w:szCs w:val="22"/>
        </w:rPr>
        <w:t>hone calls</w:t>
      </w:r>
      <w:r w:rsidRPr="00E97960">
        <w:t>.</w:t>
      </w:r>
      <w:r>
        <w:rPr>
          <w:vertAlign w:val="superscript"/>
        </w:rPr>
        <w:footnoteReference w:id="114"/>
      </w:r>
      <w:r>
        <w:t xml:space="preserve">  </w:t>
      </w:r>
      <w:r w:rsidRPr="002F5451">
        <w:rPr>
          <w:szCs w:val="22"/>
        </w:rPr>
        <w:t xml:space="preserve">While network congestion may have precluded </w:t>
      </w:r>
      <w:r>
        <w:rPr>
          <w:szCs w:val="22"/>
        </w:rPr>
        <w:t>government officials from contacting each other</w:t>
      </w:r>
      <w:r w:rsidRPr="002F5451">
        <w:rPr>
          <w:szCs w:val="22"/>
        </w:rPr>
        <w:t xml:space="preserve"> </w:t>
      </w:r>
      <w:r>
        <w:rPr>
          <w:szCs w:val="22"/>
        </w:rPr>
        <w:t xml:space="preserve">and </w:t>
      </w:r>
      <w:r w:rsidRPr="002F5451">
        <w:rPr>
          <w:szCs w:val="22"/>
        </w:rPr>
        <w:t xml:space="preserve">the public from reaching HI-EMA through the ordinary phone lines, priority communications services would have enabled </w:t>
      </w:r>
      <w:r>
        <w:rPr>
          <w:szCs w:val="22"/>
        </w:rPr>
        <w:t xml:space="preserve">government officials and </w:t>
      </w:r>
      <w:r w:rsidRPr="002F5451">
        <w:rPr>
          <w:szCs w:val="22"/>
        </w:rPr>
        <w:t xml:space="preserve">HI-EMA staff to place and receive calls during this event.  </w:t>
      </w:r>
    </w:p>
    <w:p w:rsidR="00E9413C" w:rsidRPr="00063847" w:rsidP="00EF2928">
      <w:pPr>
        <w:pStyle w:val="ParaNum"/>
        <w:ind w:left="0"/>
      </w:pPr>
      <w:r>
        <w:t xml:space="preserve">The Government Emergency </w:t>
      </w:r>
      <w:r w:rsidRPr="00EF2928" w:rsidR="00EF2928">
        <w:rPr>
          <w:szCs w:val="22"/>
        </w:rPr>
        <w:t>Telecommunications</w:t>
      </w:r>
      <w:r>
        <w:t xml:space="preserve"> Service (</w:t>
      </w:r>
      <w:r w:rsidRPr="004F4E2D">
        <w:t>GETS</w:t>
      </w:r>
      <w:r>
        <w:t>)</w:t>
      </w:r>
      <w:r>
        <w:rPr>
          <w:rStyle w:val="FootnoteReference"/>
          <w:szCs w:val="22"/>
        </w:rPr>
        <w:footnoteReference w:id="115"/>
      </w:r>
      <w:r w:rsidRPr="004F4E2D">
        <w:t xml:space="preserve"> and </w:t>
      </w:r>
      <w:r>
        <w:t>the Wireless Priority Service (</w:t>
      </w:r>
      <w:r w:rsidRPr="004F4E2D">
        <w:t>WPS</w:t>
      </w:r>
      <w:r>
        <w:t>)</w:t>
      </w:r>
      <w:r>
        <w:rPr>
          <w:rStyle w:val="FootnoteReference"/>
          <w:szCs w:val="22"/>
        </w:rPr>
        <w:footnoteReference w:id="116"/>
      </w:r>
      <w:r w:rsidRPr="004F4E2D">
        <w:t xml:space="preserve"> </w:t>
      </w:r>
      <w:r w:rsidRPr="00CE112F">
        <w:rPr>
          <w:lang w:val="en"/>
        </w:rPr>
        <w:t>programs are companion services for</w:t>
      </w:r>
      <w:r w:rsidR="00292F37">
        <w:rPr>
          <w:lang w:val="en"/>
        </w:rPr>
        <w:t xml:space="preserve"> priority calling offered by</w:t>
      </w:r>
      <w:r w:rsidRPr="00CE112F">
        <w:rPr>
          <w:lang w:val="en"/>
        </w:rPr>
        <w:t xml:space="preserve"> </w:t>
      </w:r>
      <w:r w:rsidR="00292F37">
        <w:rPr>
          <w:lang w:val="en"/>
        </w:rPr>
        <w:t>DHS’</w:t>
      </w:r>
      <w:r>
        <w:rPr>
          <w:lang w:val="en"/>
        </w:rPr>
        <w:t xml:space="preserve"> Office of Emergency Communications (OEC).  The GETS program provides authorized users priority access over landline networks and the WPS program provides authorized users priority access over cellular networks, thus increasing the likelihood that a call will be completed during an emergency.  DHS</w:t>
      </w:r>
      <w:r w:rsidRPr="004F4E2D">
        <w:rPr>
          <w:lang w:val="en"/>
        </w:rPr>
        <w:t xml:space="preserve"> determines eligibility to use GETS/WPS.  Federal, state, local, and </w:t>
      </w:r>
      <w:r w:rsidR="00637578">
        <w:rPr>
          <w:lang w:val="en"/>
        </w:rPr>
        <w:t>T</w:t>
      </w:r>
      <w:r w:rsidRPr="004F4E2D">
        <w:rPr>
          <w:lang w:val="en"/>
        </w:rPr>
        <w:t xml:space="preserve">ribal agencies </w:t>
      </w:r>
      <w:r>
        <w:rPr>
          <w:lang w:val="en"/>
        </w:rPr>
        <w:t>may</w:t>
      </w:r>
      <w:r w:rsidRPr="004F4E2D">
        <w:rPr>
          <w:lang w:val="en"/>
        </w:rPr>
        <w:t xml:space="preserve"> enroll in GETS/WPS (</w:t>
      </w:r>
      <w:r w:rsidRPr="004F4E2D">
        <w:rPr>
          <w:i/>
          <w:lang w:val="en"/>
        </w:rPr>
        <w:t>e.g.</w:t>
      </w:r>
      <w:r w:rsidRPr="004F4E2D">
        <w:rPr>
          <w:lang w:val="en"/>
        </w:rPr>
        <w:t>, police department</w:t>
      </w:r>
      <w:r>
        <w:rPr>
          <w:lang w:val="en"/>
        </w:rPr>
        <w:t>s</w:t>
      </w:r>
      <w:r w:rsidRPr="004F4E2D">
        <w:rPr>
          <w:lang w:val="en"/>
        </w:rPr>
        <w:t>, fire department</w:t>
      </w:r>
      <w:r>
        <w:rPr>
          <w:lang w:val="en"/>
        </w:rPr>
        <w:t>s</w:t>
      </w:r>
      <w:r w:rsidRPr="004F4E2D">
        <w:rPr>
          <w:lang w:val="en"/>
        </w:rPr>
        <w:t>, public safety answering point</w:t>
      </w:r>
      <w:r>
        <w:rPr>
          <w:lang w:val="en"/>
        </w:rPr>
        <w:t>s</w:t>
      </w:r>
      <w:r w:rsidRPr="004F4E2D">
        <w:rPr>
          <w:lang w:val="en"/>
        </w:rPr>
        <w:t xml:space="preserve"> o</w:t>
      </w:r>
      <w:r>
        <w:rPr>
          <w:lang w:val="en"/>
        </w:rPr>
        <w:t>r 911 call centers, emergency medical service</w:t>
      </w:r>
      <w:r w:rsidRPr="004F4E2D">
        <w:rPr>
          <w:lang w:val="en"/>
        </w:rPr>
        <w:t xml:space="preserve"> entity, essential healthcare provider</w:t>
      </w:r>
      <w:r>
        <w:rPr>
          <w:lang w:val="en"/>
        </w:rPr>
        <w:t>s</w:t>
      </w:r>
      <w:r w:rsidRPr="004F4E2D">
        <w:rPr>
          <w:lang w:val="en"/>
        </w:rPr>
        <w:t xml:space="preserve"> or any other organization that uses telecommunication services necessary for the public health, safety, and maintenance of law and order).</w:t>
      </w:r>
      <w:r>
        <w:rPr>
          <w:rStyle w:val="FootnoteReference"/>
          <w:szCs w:val="22"/>
          <w:lang w:val="en"/>
        </w:rPr>
        <w:footnoteReference w:id="117"/>
      </w:r>
      <w:r w:rsidRPr="004F4E2D">
        <w:rPr>
          <w:lang w:val="en"/>
        </w:rPr>
        <w:t xml:space="preserve"> </w:t>
      </w:r>
      <w:r>
        <w:rPr>
          <w:lang w:val="en"/>
        </w:rPr>
        <w:t xml:space="preserve"> </w:t>
      </w:r>
    </w:p>
    <w:p w:rsidR="00E9413C" w:rsidRPr="00CA2444" w:rsidP="00E9413C">
      <w:pPr>
        <w:pStyle w:val="ParaNum"/>
        <w:tabs>
          <w:tab w:val="num" w:pos="1440"/>
        </w:tabs>
        <w:ind w:left="0"/>
        <w:rPr>
          <w:szCs w:val="22"/>
        </w:rPr>
      </w:pPr>
      <w:r w:rsidRPr="00AA1A01">
        <w:rPr>
          <w:szCs w:val="22"/>
          <w:lang w:val="en"/>
        </w:rPr>
        <w:t>HI-</w:t>
      </w:r>
      <w:r w:rsidRPr="00AA1A01">
        <w:rPr>
          <w:szCs w:val="22"/>
        </w:rPr>
        <w:t xml:space="preserve">EMA </w:t>
      </w:r>
      <w:r w:rsidR="008F1DE5">
        <w:rPr>
          <w:szCs w:val="22"/>
        </w:rPr>
        <w:t xml:space="preserve">stated that its </w:t>
      </w:r>
      <w:r w:rsidRPr="00AA1A01">
        <w:rPr>
          <w:szCs w:val="22"/>
        </w:rPr>
        <w:t xml:space="preserve">employees </w:t>
      </w:r>
      <w:r>
        <w:rPr>
          <w:szCs w:val="22"/>
        </w:rPr>
        <w:t xml:space="preserve">have </w:t>
      </w:r>
      <w:r w:rsidRPr="00AA1A01">
        <w:rPr>
          <w:szCs w:val="22"/>
        </w:rPr>
        <w:t xml:space="preserve">access </w:t>
      </w:r>
      <w:r>
        <w:rPr>
          <w:szCs w:val="22"/>
        </w:rPr>
        <w:t xml:space="preserve">to </w:t>
      </w:r>
      <w:r w:rsidRPr="00AA1A01">
        <w:rPr>
          <w:szCs w:val="22"/>
        </w:rPr>
        <w:t>GETS/WPS.</w:t>
      </w:r>
      <w:r>
        <w:rPr>
          <w:szCs w:val="22"/>
        </w:rPr>
        <w:t xml:space="preserve">  </w:t>
      </w:r>
      <w:r w:rsidR="008F1DE5">
        <w:rPr>
          <w:szCs w:val="22"/>
        </w:rPr>
        <w:t xml:space="preserve">It </w:t>
      </w:r>
      <w:r>
        <w:rPr>
          <w:szCs w:val="22"/>
        </w:rPr>
        <w:t>noted</w:t>
      </w:r>
      <w:r w:rsidR="0047623C">
        <w:rPr>
          <w:szCs w:val="22"/>
        </w:rPr>
        <w:t>, however,</w:t>
      </w:r>
      <w:r>
        <w:rPr>
          <w:szCs w:val="22"/>
        </w:rPr>
        <w:t xml:space="preserve"> that no HI-EMA staff </w:t>
      </w:r>
      <w:r w:rsidR="00634D70">
        <w:rPr>
          <w:szCs w:val="22"/>
        </w:rPr>
        <w:t xml:space="preserve">member </w:t>
      </w:r>
      <w:r>
        <w:rPr>
          <w:szCs w:val="22"/>
        </w:rPr>
        <w:t>reported use of GETS/WPS during the 38</w:t>
      </w:r>
      <w:r w:rsidR="00477E2F">
        <w:rPr>
          <w:szCs w:val="22"/>
        </w:rPr>
        <w:t>-</w:t>
      </w:r>
      <w:r>
        <w:rPr>
          <w:szCs w:val="22"/>
        </w:rPr>
        <w:t>minute interval between the false alert and the corrected message.</w:t>
      </w:r>
      <w:r w:rsidRPr="00AA1A01">
        <w:rPr>
          <w:szCs w:val="22"/>
        </w:rPr>
        <w:t xml:space="preserve">  </w:t>
      </w:r>
      <w:r w:rsidR="00776133">
        <w:rPr>
          <w:szCs w:val="22"/>
        </w:rPr>
        <w:t xml:space="preserve">The Bureau’s </w:t>
      </w:r>
      <w:r w:rsidRPr="00AA1A01">
        <w:rPr>
          <w:szCs w:val="22"/>
        </w:rPr>
        <w:t xml:space="preserve">investigation </w:t>
      </w:r>
      <w:r>
        <w:rPr>
          <w:szCs w:val="22"/>
        </w:rPr>
        <w:t xml:space="preserve">concluded that any </w:t>
      </w:r>
      <w:r w:rsidR="00FF0A55">
        <w:rPr>
          <w:szCs w:val="22"/>
        </w:rPr>
        <w:t xml:space="preserve">inability of HI-EMA staff to reach headquarters </w:t>
      </w:r>
      <w:r>
        <w:rPr>
          <w:szCs w:val="22"/>
        </w:rPr>
        <w:t>was</w:t>
      </w:r>
      <w:r w:rsidR="00FF0A55">
        <w:rPr>
          <w:szCs w:val="22"/>
        </w:rPr>
        <w:t xml:space="preserve"> caused by the inability of HI-EMA staff to handle the surge of calls and </w:t>
      </w:r>
      <w:r>
        <w:rPr>
          <w:szCs w:val="22"/>
        </w:rPr>
        <w:t xml:space="preserve">not the result of GETS/WPS non-functionality. </w:t>
      </w:r>
      <w:r w:rsidR="006760BD">
        <w:rPr>
          <w:szCs w:val="22"/>
        </w:rPr>
        <w:t xml:space="preserve"> </w:t>
      </w:r>
      <w:r w:rsidR="00776133">
        <w:rPr>
          <w:szCs w:val="22"/>
        </w:rPr>
        <w:t xml:space="preserve">The Bureau’s </w:t>
      </w:r>
      <w:r>
        <w:rPr>
          <w:szCs w:val="22"/>
        </w:rPr>
        <w:t xml:space="preserve">investigators </w:t>
      </w:r>
      <w:r w:rsidRPr="00AA1A01">
        <w:rPr>
          <w:szCs w:val="22"/>
        </w:rPr>
        <w:t>did not find any evidence that GETS/WPS did not work as intended for HI-EMA employees o</w:t>
      </w:r>
      <w:r>
        <w:rPr>
          <w:szCs w:val="22"/>
        </w:rPr>
        <w:t>r any other emergency responder</w:t>
      </w:r>
      <w:r w:rsidR="00FF0A55">
        <w:rPr>
          <w:szCs w:val="22"/>
        </w:rPr>
        <w:t>; rather it seems that GETS/WPS were not used</w:t>
      </w:r>
      <w:r w:rsidR="0067292D">
        <w:rPr>
          <w:szCs w:val="22"/>
        </w:rPr>
        <w:t xml:space="preserve"> by HI-EMA</w:t>
      </w:r>
      <w:r w:rsidRPr="00AA1A01">
        <w:rPr>
          <w:szCs w:val="22"/>
        </w:rPr>
        <w:t xml:space="preserve">.  </w:t>
      </w:r>
      <w:r w:rsidR="0067292D">
        <w:rPr>
          <w:szCs w:val="22"/>
        </w:rPr>
        <w:t>DHS</w:t>
      </w:r>
      <w:r w:rsidR="00E45C8A">
        <w:rPr>
          <w:szCs w:val="22"/>
        </w:rPr>
        <w:t>, however, informed</w:t>
      </w:r>
      <w:r w:rsidR="00E775CC">
        <w:rPr>
          <w:szCs w:val="22"/>
        </w:rPr>
        <w:t xml:space="preserve"> the Bureau</w:t>
      </w:r>
      <w:r w:rsidR="0067292D">
        <w:rPr>
          <w:szCs w:val="22"/>
        </w:rPr>
        <w:t xml:space="preserve"> that GETS/WPS </w:t>
      </w:r>
      <w:r w:rsidR="00E45C8A">
        <w:rPr>
          <w:szCs w:val="22"/>
        </w:rPr>
        <w:t xml:space="preserve">successfully </w:t>
      </w:r>
      <w:r w:rsidR="0067292D">
        <w:rPr>
          <w:szCs w:val="22"/>
        </w:rPr>
        <w:t>facilitated 19 calls on January 13, 2018</w:t>
      </w:r>
      <w:r w:rsidR="00E45C8A">
        <w:rPr>
          <w:szCs w:val="22"/>
        </w:rPr>
        <w:t>, though DHS did not identify the callers</w:t>
      </w:r>
      <w:r w:rsidR="0067292D">
        <w:rPr>
          <w:szCs w:val="22"/>
        </w:rPr>
        <w:t>.</w:t>
      </w:r>
      <w:r>
        <w:rPr>
          <w:rStyle w:val="FootnoteReference"/>
          <w:szCs w:val="22"/>
        </w:rPr>
        <w:footnoteReference w:id="118"/>
      </w:r>
      <w:r w:rsidR="0067292D">
        <w:rPr>
          <w:szCs w:val="22"/>
        </w:rPr>
        <w:t xml:space="preserve">  </w:t>
      </w:r>
      <w:r>
        <w:rPr>
          <w:szCs w:val="22"/>
        </w:rPr>
        <w:t>The Bureau</w:t>
      </w:r>
      <w:r w:rsidRPr="00AA1A01">
        <w:rPr>
          <w:szCs w:val="22"/>
        </w:rPr>
        <w:t xml:space="preserve"> </w:t>
      </w:r>
      <w:r>
        <w:rPr>
          <w:szCs w:val="22"/>
        </w:rPr>
        <w:t xml:space="preserve">also did not </w:t>
      </w:r>
      <w:r w:rsidRPr="00AA1A01">
        <w:rPr>
          <w:szCs w:val="22"/>
        </w:rPr>
        <w:t xml:space="preserve">find that network congestion prevented HI-EMA staff </w:t>
      </w:r>
      <w:r>
        <w:rPr>
          <w:szCs w:val="22"/>
        </w:rPr>
        <w:t>from</w:t>
      </w:r>
      <w:r w:rsidRPr="00AA1A01">
        <w:rPr>
          <w:szCs w:val="22"/>
        </w:rPr>
        <w:t xml:space="preserve"> communicating with state and local authorities to correct the false alert</w:t>
      </w:r>
      <w:r w:rsidR="008D6165">
        <w:rPr>
          <w:szCs w:val="22"/>
        </w:rPr>
        <w:t xml:space="preserve">, </w:t>
      </w:r>
      <w:r w:rsidR="00681831">
        <w:rPr>
          <w:szCs w:val="22"/>
        </w:rPr>
        <w:t xml:space="preserve">or </w:t>
      </w:r>
      <w:r w:rsidR="008D6165">
        <w:rPr>
          <w:szCs w:val="22"/>
        </w:rPr>
        <w:t xml:space="preserve">with </w:t>
      </w:r>
      <w:r w:rsidRPr="00AA1A01">
        <w:rPr>
          <w:szCs w:val="22"/>
        </w:rPr>
        <w:t>FEMA to co</w:t>
      </w:r>
      <w:r>
        <w:rPr>
          <w:szCs w:val="22"/>
        </w:rPr>
        <w:t>nfirm the use of a CEM code to correct the false alert</w:t>
      </w:r>
      <w:r w:rsidRPr="00AA1A01">
        <w:rPr>
          <w:szCs w:val="22"/>
        </w:rPr>
        <w:t xml:space="preserve">.  </w:t>
      </w:r>
      <w:r>
        <w:rPr>
          <w:szCs w:val="22"/>
        </w:rPr>
        <w:t xml:space="preserve">The </w:t>
      </w:r>
      <w:r w:rsidRPr="00D61400">
        <w:rPr>
          <w:i/>
          <w:szCs w:val="22"/>
        </w:rPr>
        <w:t>H</w:t>
      </w:r>
      <w:r>
        <w:rPr>
          <w:i/>
          <w:szCs w:val="22"/>
        </w:rPr>
        <w:t>I-EMA</w:t>
      </w:r>
      <w:r w:rsidRPr="00D61400">
        <w:rPr>
          <w:i/>
          <w:szCs w:val="22"/>
        </w:rPr>
        <w:t xml:space="preserve"> Report </w:t>
      </w:r>
      <w:r>
        <w:rPr>
          <w:szCs w:val="22"/>
        </w:rPr>
        <w:t>indicates that HI-EMA staff communicated directly with the counties using the Hawaii Warning System.</w:t>
      </w:r>
      <w:r>
        <w:rPr>
          <w:rStyle w:val="FootnoteReference"/>
          <w:szCs w:val="22"/>
        </w:rPr>
        <w:footnoteReference w:id="119"/>
      </w:r>
      <w:r>
        <w:rPr>
          <w:szCs w:val="22"/>
        </w:rPr>
        <w:t xml:space="preserve">  </w:t>
      </w:r>
      <w:bookmarkEnd w:id="164"/>
    </w:p>
    <w:p w:rsidR="00E9413C" w:rsidP="00E9413C">
      <w:pPr>
        <w:pStyle w:val="Heading1"/>
      </w:pPr>
      <w:bookmarkStart w:id="176" w:name="_Toc505854720"/>
      <w:bookmarkStart w:id="177" w:name="_Toc507499238"/>
      <w:bookmarkStart w:id="178" w:name="_Toc511031506"/>
      <w:r>
        <w:t>NEXT STEPS</w:t>
      </w:r>
      <w:bookmarkEnd w:id="176"/>
      <w:bookmarkEnd w:id="177"/>
      <w:bookmarkEnd w:id="178"/>
    </w:p>
    <w:p w:rsidR="00E9413C" w:rsidRPr="00C447C4" w:rsidP="00E9413C">
      <w:pPr>
        <w:pStyle w:val="ParaNum"/>
        <w:ind w:left="0"/>
      </w:pPr>
      <w:r>
        <w:t xml:space="preserve">The facts and circumstances surrounding this false alert, both leading up to the </w:t>
      </w:r>
      <w:r w:rsidR="00BC78D1">
        <w:t xml:space="preserve">alert </w:t>
      </w:r>
      <w:r>
        <w:t>as well as after-action efforts to address confusion and misinformation, provide insights into how the alert origination process may be improved going forward.  Below, the Bureau highlights HI-EMA’s lessons learned and corrective measures, as well as the Bureau’s recommendations</w:t>
      </w:r>
      <w:r w:rsidRPr="003748C4">
        <w:t xml:space="preserve"> to safeguard against </w:t>
      </w:r>
      <w:r>
        <w:t xml:space="preserve">the issuance of </w:t>
      </w:r>
      <w:r w:rsidRPr="003748C4">
        <w:t>false alerts and to mitigate their harmful effects if they do occur</w:t>
      </w:r>
      <w:r>
        <w:t>.</w:t>
      </w:r>
    </w:p>
    <w:p w:rsidR="00E9413C" w:rsidRPr="00100E73" w:rsidP="00E652A9">
      <w:pPr>
        <w:pStyle w:val="Heading2"/>
      </w:pPr>
      <w:bookmarkStart w:id="179" w:name="_Toc505854723"/>
      <w:bookmarkStart w:id="180" w:name="_Toc507499239"/>
      <w:bookmarkStart w:id="181" w:name="_Toc511031507"/>
      <w:r>
        <w:t>Hawaii’s</w:t>
      </w:r>
      <w:r w:rsidRPr="00100E73">
        <w:t xml:space="preserve"> </w:t>
      </w:r>
      <w:bookmarkEnd w:id="105"/>
      <w:bookmarkEnd w:id="106"/>
      <w:bookmarkEnd w:id="107"/>
      <w:bookmarkEnd w:id="108"/>
      <w:bookmarkEnd w:id="109"/>
      <w:r>
        <w:t>Actions to Prevent Recurrence</w:t>
      </w:r>
      <w:bookmarkEnd w:id="179"/>
      <w:bookmarkEnd w:id="180"/>
      <w:bookmarkEnd w:id="181"/>
    </w:p>
    <w:p w:rsidR="00E9413C" w:rsidP="00E9413C">
      <w:pPr>
        <w:pStyle w:val="ParaNum"/>
        <w:tabs>
          <w:tab w:val="num" w:pos="1440"/>
        </w:tabs>
        <w:ind w:left="0"/>
        <w:rPr>
          <w:szCs w:val="22"/>
        </w:rPr>
      </w:pPr>
      <w:r>
        <w:t>HI-EMA has taken several</w:t>
      </w:r>
      <w:r w:rsidRPr="004B2665">
        <w:t xml:space="preserve"> major steps to prevent the recurrence of a similar </w:t>
      </w:r>
      <w:r>
        <w:t xml:space="preserve">false alert, and to improve its preparedness for responding to any false alert that may occur: </w:t>
      </w:r>
    </w:p>
    <w:p w:rsidR="00A3405E" w:rsidRPr="00A3405E" w:rsidP="007A3FA2">
      <w:pPr>
        <w:pStyle w:val="ParaNum"/>
        <w:numPr>
          <w:ilvl w:val="0"/>
          <w:numId w:val="3"/>
        </w:numPr>
        <w:ind w:left="1080"/>
        <w:rPr>
          <w:rFonts w:ascii="Open Sans" w:hAnsi="Open Sans"/>
          <w:color w:val="333333"/>
          <w:kern w:val="0"/>
        </w:rPr>
      </w:pPr>
      <w:r>
        <w:rPr>
          <w:szCs w:val="22"/>
        </w:rPr>
        <w:t>First,</w:t>
      </w:r>
      <w:r w:rsidRPr="00422333" w:rsidR="00422333">
        <w:rPr>
          <w:szCs w:val="22"/>
        </w:rPr>
        <w:t xml:space="preserve"> </w:t>
      </w:r>
      <w:r w:rsidR="00422333">
        <w:rPr>
          <w:szCs w:val="22"/>
        </w:rPr>
        <w:t>HI-EMA</w:t>
      </w:r>
      <w:r w:rsidRPr="005D1D7F" w:rsidR="00422333">
        <w:rPr>
          <w:szCs w:val="22"/>
        </w:rPr>
        <w:t xml:space="preserve"> policy </w:t>
      </w:r>
      <w:r w:rsidR="00422333">
        <w:rPr>
          <w:szCs w:val="22"/>
        </w:rPr>
        <w:t xml:space="preserve">requires </w:t>
      </w:r>
      <w:r w:rsidRPr="005D1D7F" w:rsidR="00422333">
        <w:rPr>
          <w:szCs w:val="22"/>
        </w:rPr>
        <w:t xml:space="preserve">that all </w:t>
      </w:r>
      <w:r w:rsidR="00422333">
        <w:t xml:space="preserve">future drills must be </w:t>
      </w:r>
      <w:r w:rsidR="00BB671F">
        <w:t>overseen</w:t>
      </w:r>
      <w:r w:rsidR="00422333">
        <w:t xml:space="preserve"> by at least one supervisor. </w:t>
      </w:r>
      <w:r>
        <w:rPr>
          <w:szCs w:val="22"/>
        </w:rPr>
        <w:t xml:space="preserve"> </w:t>
      </w:r>
      <w:r w:rsidR="00422333">
        <w:t>I</w:t>
      </w:r>
      <w:r>
        <w:t xml:space="preserve">f </w:t>
      </w:r>
      <w:r w:rsidR="00BB671F">
        <w:t xml:space="preserve">either </w:t>
      </w:r>
      <w:r w:rsidR="003D36FD">
        <w:t xml:space="preserve">the daytime </w:t>
      </w:r>
      <w:r w:rsidR="003663D2">
        <w:t xml:space="preserve">shift </w:t>
      </w:r>
      <w:r w:rsidR="003D36FD">
        <w:t>supervisor</w:t>
      </w:r>
      <w:r w:rsidR="003663D2">
        <w:t xml:space="preserve"> </w:t>
      </w:r>
      <w:r w:rsidR="00BB671F">
        <w:t xml:space="preserve">or midnight shift supervisor </w:t>
      </w:r>
      <w:r w:rsidR="003D36FD">
        <w:t>had been required to oversee the</w:t>
      </w:r>
      <w:r>
        <w:t xml:space="preserve"> January 13, 2018</w:t>
      </w:r>
      <w:r w:rsidR="003663D2">
        <w:t>,</w:t>
      </w:r>
      <w:r w:rsidR="00C367E4">
        <w:t xml:space="preserve"> drill</w:t>
      </w:r>
      <w:r w:rsidR="00422333">
        <w:t xml:space="preserve"> </w:t>
      </w:r>
      <w:r w:rsidR="003663D2">
        <w:t>from the State Warning Point</w:t>
      </w:r>
      <w:r w:rsidR="00BB671F">
        <w:t>,</w:t>
      </w:r>
      <w:r>
        <w:t xml:space="preserve"> </w:t>
      </w:r>
      <w:r w:rsidR="002A2D65">
        <w:t xml:space="preserve">such </w:t>
      </w:r>
      <w:r>
        <w:t>closer oversight over the drill’s procedures</w:t>
      </w:r>
      <w:r w:rsidR="003D36FD">
        <w:t xml:space="preserve"> could </w:t>
      </w:r>
      <w:r>
        <w:t xml:space="preserve">potentially </w:t>
      </w:r>
      <w:r w:rsidR="003D36FD">
        <w:t xml:space="preserve">have </w:t>
      </w:r>
      <w:r>
        <w:t>prevent</w:t>
      </w:r>
      <w:r w:rsidR="003D36FD">
        <w:t xml:space="preserve">ed </w:t>
      </w:r>
      <w:r>
        <w:t>miscommunications and ensur</w:t>
      </w:r>
      <w:r w:rsidR="003D36FD">
        <w:t>ed</w:t>
      </w:r>
      <w:r>
        <w:t xml:space="preserve"> superior quality control over </w:t>
      </w:r>
      <w:r w:rsidR="003D36FD">
        <w:t>the drill</w:t>
      </w:r>
      <w:r>
        <w:t xml:space="preserve">. </w:t>
      </w:r>
      <w:r w:rsidR="004C4005">
        <w:t xml:space="preserve"> </w:t>
      </w:r>
    </w:p>
    <w:p w:rsidR="00E9413C" w:rsidRPr="002E40FF" w:rsidP="007A3FA2">
      <w:pPr>
        <w:pStyle w:val="ParaNum"/>
        <w:numPr>
          <w:ilvl w:val="0"/>
          <w:numId w:val="3"/>
        </w:numPr>
        <w:ind w:left="1080"/>
        <w:rPr>
          <w:rFonts w:ascii="Open Sans" w:hAnsi="Open Sans"/>
          <w:color w:val="333333"/>
          <w:kern w:val="0"/>
        </w:rPr>
      </w:pPr>
      <w:r w:rsidRPr="007A3FA2">
        <w:rPr>
          <w:szCs w:val="22"/>
        </w:rPr>
        <w:t>Second, HI-</w:t>
      </w:r>
      <w:r w:rsidRPr="00E87DC9">
        <w:rPr>
          <w:szCs w:val="22"/>
        </w:rPr>
        <w:t>EMA</w:t>
      </w:r>
      <w:r w:rsidRPr="00E87DC9" w:rsidR="007A3FA2">
        <w:rPr>
          <w:szCs w:val="22"/>
        </w:rPr>
        <w:t xml:space="preserve"> </w:t>
      </w:r>
      <w:r w:rsidRPr="0083524B" w:rsidR="007A3FA2">
        <w:rPr>
          <w:snapToGrid/>
          <w:kern w:val="0"/>
          <w:szCs w:val="22"/>
        </w:rPr>
        <w:t>instituted a</w:t>
      </w:r>
      <w:r w:rsidRPr="0083524B" w:rsidR="007A3FA2">
        <w:rPr>
          <w:kern w:val="0"/>
          <w:szCs w:val="22"/>
        </w:rPr>
        <w:t xml:space="preserve"> two</w:t>
      </w:r>
      <w:r w:rsidRPr="0083524B" w:rsidR="007A3FA2">
        <w:rPr>
          <w:snapToGrid/>
          <w:kern w:val="0"/>
          <w:szCs w:val="22"/>
        </w:rPr>
        <w:t xml:space="preserve">-person activation/verification rule for tests as well as </w:t>
      </w:r>
      <w:r w:rsidRPr="0083524B" w:rsidR="00F16335">
        <w:rPr>
          <w:snapToGrid/>
          <w:kern w:val="0"/>
          <w:szCs w:val="22"/>
        </w:rPr>
        <w:t xml:space="preserve">for </w:t>
      </w:r>
      <w:r w:rsidRPr="0083524B" w:rsidR="007A3FA2">
        <w:rPr>
          <w:snapToGrid/>
          <w:kern w:val="0"/>
          <w:szCs w:val="22"/>
        </w:rPr>
        <w:t>actual missile launch notifications</w:t>
      </w:r>
      <w:r w:rsidRPr="00E87DC9">
        <w:rPr>
          <w:szCs w:val="22"/>
        </w:rPr>
        <w:t xml:space="preserve">.  </w:t>
      </w:r>
      <w:r w:rsidRPr="007A3FA2">
        <w:rPr>
          <w:szCs w:val="22"/>
        </w:rPr>
        <w:t>This will provide an additional quality control to help prevent mistakes.  On January 13, 2018, HI-EMA only required one credentialed warning officer to initiate the alert.</w:t>
      </w:r>
      <w:r>
        <w:rPr>
          <w:rStyle w:val="FootnoteReference"/>
          <w:szCs w:val="22"/>
        </w:rPr>
        <w:footnoteReference w:id="120"/>
      </w:r>
      <w:r w:rsidRPr="007A3FA2">
        <w:rPr>
          <w:szCs w:val="22"/>
        </w:rPr>
        <w:t xml:space="preserve"> </w:t>
      </w:r>
    </w:p>
    <w:p w:rsidR="00E9413C" w:rsidRPr="006279F7" w:rsidP="00E9413C">
      <w:pPr>
        <w:pStyle w:val="ParaNum"/>
        <w:numPr>
          <w:ilvl w:val="0"/>
          <w:numId w:val="3"/>
        </w:numPr>
        <w:ind w:left="1080"/>
      </w:pPr>
      <w:r>
        <w:t xml:space="preserve">Third, </w:t>
      </w:r>
      <w:r w:rsidRPr="005D1D7F">
        <w:rPr>
          <w:szCs w:val="22"/>
        </w:rPr>
        <w:t xml:space="preserve">HI-EMA has created templates for EAS and WEA messages that </w:t>
      </w:r>
      <w:r>
        <w:rPr>
          <w:szCs w:val="22"/>
        </w:rPr>
        <w:t xml:space="preserve">officers may use to </w:t>
      </w:r>
      <w:r w:rsidRPr="005D1D7F">
        <w:rPr>
          <w:szCs w:val="22"/>
        </w:rPr>
        <w:t>correct a false alarm.  This will ensure that, were such an event to occur again, the public could receive notice of the correction more quickly</w:t>
      </w:r>
      <w:r>
        <w:rPr>
          <w:szCs w:val="22"/>
        </w:rPr>
        <w:t>.  Prior to the January 13, 2018</w:t>
      </w:r>
      <w:r w:rsidRPr="005D1D7F">
        <w:rPr>
          <w:szCs w:val="22"/>
        </w:rPr>
        <w:t xml:space="preserve">, </w:t>
      </w:r>
      <w:r>
        <w:rPr>
          <w:szCs w:val="22"/>
        </w:rPr>
        <w:t xml:space="preserve">false alert, </w:t>
      </w:r>
      <w:r w:rsidRPr="005D1D7F">
        <w:rPr>
          <w:szCs w:val="22"/>
        </w:rPr>
        <w:t>HI-EMA did not have protocols or training in place with respect to how to issue a correction to an alert, or what to do in the event a false alert was initiated.</w:t>
      </w:r>
      <w:r>
        <w:rPr>
          <w:rStyle w:val="FootnoteReference"/>
          <w:szCs w:val="22"/>
        </w:rPr>
        <w:footnoteReference w:id="121"/>
      </w:r>
      <w:r w:rsidRPr="005D1D7F">
        <w:rPr>
          <w:szCs w:val="22"/>
        </w:rPr>
        <w:t xml:space="preserve">  </w:t>
      </w:r>
    </w:p>
    <w:p w:rsidR="007649F9" w:rsidP="00E9413C">
      <w:pPr>
        <w:pStyle w:val="ParaNum"/>
        <w:numPr>
          <w:ilvl w:val="0"/>
          <w:numId w:val="3"/>
        </w:numPr>
        <w:ind w:left="1080"/>
      </w:pPr>
      <w:r w:rsidRPr="006279F7">
        <w:rPr>
          <w:szCs w:val="22"/>
        </w:rPr>
        <w:t xml:space="preserve">Fourth, </w:t>
      </w:r>
      <w:r>
        <w:t xml:space="preserve">HI-EMA has requested that </w:t>
      </w:r>
      <w:r w:rsidR="00C81E80">
        <w:t xml:space="preserve">its </w:t>
      </w:r>
      <w:r>
        <w:t xml:space="preserve">alert origination software vendor integrate improvements into the next iteration of </w:t>
      </w:r>
      <w:r w:rsidR="00503ABE">
        <w:t>its</w:t>
      </w:r>
      <w:r w:rsidR="00532B0F">
        <w:t xml:space="preserve"> </w:t>
      </w:r>
      <w:r>
        <w:t xml:space="preserve">software </w:t>
      </w:r>
      <w:r w:rsidR="00503ABE">
        <w:t>to</w:t>
      </w:r>
      <w:r>
        <w:t xml:space="preserve"> help safeguard against false alerts.  The January 13, 2018</w:t>
      </w:r>
      <w:r w:rsidR="00503ABE">
        <w:t>,</w:t>
      </w:r>
      <w:r>
        <w:t xml:space="preserve"> iteration of HI-EMA’s alert origination software did not clearly differentiate the test environment from the live alert environment or the test templates from the live alert templates.</w:t>
      </w:r>
      <w:r>
        <w:rPr>
          <w:rStyle w:val="FootnoteReference"/>
        </w:rPr>
        <w:footnoteReference w:id="122"/>
      </w:r>
      <w:r>
        <w:t xml:space="preserve">  Further, while HI-EMA’s alert origination software did display a message to confirm the alert originator’s intent to transmit alerts and tests (a “speedbump”), it did not display that message in a way that enables the alert originator to review their message while they confirm their intent to transmit it, nor </w:t>
      </w:r>
      <w:r w:rsidR="00E87DC9">
        <w:t xml:space="preserve">did </w:t>
      </w:r>
      <w:r>
        <w:t xml:space="preserve">the speedbump clearly specify whether the alert originator is about to send a test or a live alert.  HI-EMA’s alert origination software vendor intends to clearly differentiate </w:t>
      </w:r>
      <w:r w:rsidR="00956EDD">
        <w:t xml:space="preserve">its </w:t>
      </w:r>
      <w:r>
        <w:t xml:space="preserve">test environment from </w:t>
      </w:r>
      <w:r w:rsidR="00956EDD">
        <w:t xml:space="preserve">its </w:t>
      </w:r>
      <w:r>
        <w:t>live alert environment (</w:t>
      </w:r>
      <w:r w:rsidRPr="00951484">
        <w:rPr>
          <w:i/>
        </w:rPr>
        <w:t>e.g.</w:t>
      </w:r>
      <w:r>
        <w:t xml:space="preserve">, color coding and alphabetizing their templates, and adding information to </w:t>
      </w:r>
      <w:r w:rsidR="00956EDD">
        <w:t xml:space="preserve">its </w:t>
      </w:r>
      <w:r>
        <w:t xml:space="preserve">final </w:t>
      </w:r>
      <w:r w:rsidR="00845830">
        <w:t>confirmation prompt (</w:t>
      </w:r>
      <w:r>
        <w:t>speedbump</w:t>
      </w:r>
      <w:r w:rsidR="00845830">
        <w:t>)</w:t>
      </w:r>
      <w:r>
        <w:t xml:space="preserve"> that makes clear whether the alert about to be sent is a live alert).  This will make it more difficult for a warning officer to accidentally choose the wrong alert message template, or to transmit a false alert.</w:t>
      </w:r>
      <w:r>
        <w:rPr>
          <w:rStyle w:val="FootnoteReference"/>
        </w:rPr>
        <w:footnoteReference w:id="123"/>
      </w:r>
      <w:r w:rsidR="00247544">
        <w:t xml:space="preserve">  </w:t>
      </w:r>
    </w:p>
    <w:p w:rsidR="00737267" w:rsidP="00E9413C">
      <w:pPr>
        <w:pStyle w:val="ParaNum"/>
        <w:numPr>
          <w:ilvl w:val="0"/>
          <w:numId w:val="3"/>
        </w:numPr>
        <w:ind w:left="1080"/>
      </w:pPr>
      <w:r>
        <w:t>Fifth</w:t>
      </w:r>
      <w:r w:rsidR="00247544">
        <w:t xml:space="preserve">, </w:t>
      </w:r>
      <w:r w:rsidR="001C73A5">
        <w:t xml:space="preserve">HI-EMA </w:t>
      </w:r>
      <w:r w:rsidR="00782167">
        <w:t>suspend</w:t>
      </w:r>
      <w:r w:rsidR="00236CE2">
        <w:t>ed</w:t>
      </w:r>
      <w:r w:rsidR="00782167">
        <w:t xml:space="preserve"> </w:t>
      </w:r>
      <w:r w:rsidR="00260D8F">
        <w:t>State Warning Point ballistic missile drills</w:t>
      </w:r>
      <w:r w:rsidR="007A3FA2">
        <w:t>.</w:t>
      </w:r>
      <w:r>
        <w:rPr>
          <w:rStyle w:val="FootnoteReference"/>
        </w:rPr>
        <w:footnoteReference w:id="124"/>
      </w:r>
      <w:r w:rsidR="00782167">
        <w:t xml:space="preserve"> </w:t>
      </w:r>
    </w:p>
    <w:p w:rsidR="00782167" w:rsidP="00E9413C">
      <w:pPr>
        <w:pStyle w:val="ParaNum"/>
        <w:numPr>
          <w:ilvl w:val="0"/>
          <w:numId w:val="3"/>
        </w:numPr>
        <w:ind w:left="1080"/>
      </w:pPr>
      <w:r>
        <w:t xml:space="preserve">Finally, </w:t>
      </w:r>
      <w:r w:rsidR="000F01F3">
        <w:t xml:space="preserve">on March 16, 2018, </w:t>
      </w:r>
      <w:r>
        <w:t>Hawaii appointed a new HI-EMA administrator to guide the agency and enhance “public trust.”</w:t>
      </w:r>
      <w:r>
        <w:rPr>
          <w:rStyle w:val="FootnoteReference"/>
        </w:rPr>
        <w:footnoteReference w:id="125"/>
      </w:r>
    </w:p>
    <w:p w:rsidR="00E9413C" w:rsidP="00E652A9">
      <w:pPr>
        <w:pStyle w:val="Heading2"/>
      </w:pPr>
      <w:bookmarkStart w:id="182" w:name="_Toc505854724"/>
      <w:bookmarkStart w:id="183" w:name="_Toc507499240"/>
      <w:bookmarkStart w:id="184" w:name="_Toc5110315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Bureau Recommendations</w:t>
      </w:r>
      <w:bookmarkEnd w:id="182"/>
      <w:bookmarkEnd w:id="183"/>
      <w:bookmarkEnd w:id="184"/>
      <w:r w:rsidR="00E652A9">
        <w:t xml:space="preserve">  </w:t>
      </w:r>
    </w:p>
    <w:p w:rsidR="00D13721" w:rsidRPr="00D13721" w:rsidP="00560DCF">
      <w:pPr>
        <w:pStyle w:val="ParaNum"/>
        <w:tabs>
          <w:tab w:val="clear" w:pos="1530"/>
        </w:tabs>
      </w:pPr>
      <w:bookmarkStart w:id="185" w:name="_Hlk504743222"/>
      <w:r>
        <w:t>A</w:t>
      </w:r>
      <w:r w:rsidR="00F94894">
        <w:t>fter reviewing the facts that form the basis of this report,</w:t>
      </w:r>
      <w:r w:rsidRPr="003603DF" w:rsidR="006135FF">
        <w:t xml:space="preserve"> </w:t>
      </w:r>
      <w:r>
        <w:t xml:space="preserve">the Bureau </w:t>
      </w:r>
      <w:r w:rsidR="006135FF">
        <w:t>offers several recommendations below</w:t>
      </w:r>
      <w:r w:rsidRPr="003603DF" w:rsidR="006135FF">
        <w:t xml:space="preserve"> to </w:t>
      </w:r>
      <w:r w:rsidR="006A6B26">
        <w:t>provide guidance to</w:t>
      </w:r>
      <w:r w:rsidRPr="003603DF" w:rsidR="006135FF">
        <w:t xml:space="preserve"> state</w:t>
      </w:r>
      <w:r w:rsidR="00236CE2">
        <w:t>,</w:t>
      </w:r>
      <w:r w:rsidR="007A3FA2">
        <w:t xml:space="preserve"> </w:t>
      </w:r>
      <w:r w:rsidRPr="003603DF" w:rsidR="006135FF">
        <w:t>local</w:t>
      </w:r>
      <w:r w:rsidR="00236CE2">
        <w:t xml:space="preserve">, </w:t>
      </w:r>
      <w:r w:rsidR="00637578">
        <w:t>T</w:t>
      </w:r>
      <w:r w:rsidR="00236CE2">
        <w:t>ribal and territorial</w:t>
      </w:r>
      <w:r w:rsidRPr="003603DF" w:rsidR="006135FF">
        <w:t xml:space="preserve"> emergency alert originators and managers </w:t>
      </w:r>
      <w:r w:rsidR="006A6B26">
        <w:t xml:space="preserve">about </w:t>
      </w:r>
      <w:r w:rsidR="006135FF">
        <w:t xml:space="preserve">“lessons learned” from the Bureau’s investigation.  </w:t>
      </w:r>
      <w:r w:rsidR="00E40E92">
        <w:t>The</w:t>
      </w:r>
      <w:r w:rsidR="006135FF">
        <w:t xml:space="preserve"> Bureau recommends </w:t>
      </w:r>
      <w:r w:rsidR="00570C58">
        <w:t xml:space="preserve">that </w:t>
      </w:r>
      <w:r w:rsidR="003D36FD">
        <w:t>state</w:t>
      </w:r>
      <w:r w:rsidR="00236CE2">
        <w:t xml:space="preserve">, local, </w:t>
      </w:r>
      <w:r w:rsidR="00637578">
        <w:t>T</w:t>
      </w:r>
      <w:r w:rsidR="00236CE2">
        <w:t>ribal and territorial</w:t>
      </w:r>
      <w:r w:rsidR="003D36FD">
        <w:t xml:space="preserve"> </w:t>
      </w:r>
      <w:r w:rsidR="00570C58">
        <w:t xml:space="preserve">emergency management </w:t>
      </w:r>
      <w:r w:rsidR="003D36FD">
        <w:t>agenc</w:t>
      </w:r>
      <w:r w:rsidR="00F94894">
        <w:t xml:space="preserve">ies and </w:t>
      </w:r>
      <w:r w:rsidR="003D36FD">
        <w:t xml:space="preserve">other authorized state entities </w:t>
      </w:r>
      <w:r w:rsidR="00570C58">
        <w:t>take the following actions</w:t>
      </w:r>
      <w:r w:rsidR="006135FF">
        <w:t>:</w:t>
      </w:r>
      <w:r w:rsidRPr="003603DF" w:rsidR="006135FF">
        <w:t xml:space="preserve">  </w:t>
      </w:r>
      <w:r w:rsidRPr="003603DF" w:rsidR="00E9413C">
        <w:t xml:space="preserve"> </w:t>
      </w:r>
      <w:bookmarkEnd w:id="185"/>
    </w:p>
    <w:p w:rsidR="008A5DDB" w:rsidRPr="00907FDB" w:rsidP="008A5DDB">
      <w:pPr>
        <w:pStyle w:val="ParaNum"/>
        <w:numPr>
          <w:ilvl w:val="0"/>
          <w:numId w:val="20"/>
        </w:numPr>
        <w:rPr>
          <w:snapToGrid/>
          <w:kern w:val="0"/>
        </w:rPr>
      </w:pPr>
      <w:r>
        <w:t>Conduct regular internal tests in a controlled and closed environment, such as through the FEMA IPAWS Test Lab, to maintain proficiency with alerting tools, to exercise plans and procedures, and to identify opportunities for improvement in a manner that does not affect the public.</w:t>
      </w:r>
      <w:r>
        <w:rPr>
          <w:rStyle w:val="FootnoteReference"/>
        </w:rPr>
        <w:footnoteReference w:id="126"/>
      </w:r>
    </w:p>
    <w:p w:rsidR="008A5DDB" w:rsidRPr="008A5DDB" w:rsidP="008A5DDB">
      <w:pPr>
        <w:pStyle w:val="ParaNum"/>
        <w:numPr>
          <w:ilvl w:val="0"/>
          <w:numId w:val="20"/>
        </w:numPr>
        <w:rPr>
          <w:snapToGrid/>
        </w:rPr>
      </w:pPr>
      <w:r w:rsidRPr="00E87DC9">
        <w:rPr>
          <w:snapToGrid/>
        </w:rPr>
        <w:t xml:space="preserve">Require more than one credentialed person to validate the message content prior to transmission of a ballistic missile alert or other high-impact alerts that affect a significant percentage of the population, as well as all tests.  </w:t>
      </w:r>
    </w:p>
    <w:p w:rsidR="008A5DDB" w:rsidRPr="00907FDB" w:rsidP="008A5DDB">
      <w:pPr>
        <w:pStyle w:val="ParaNum"/>
        <w:numPr>
          <w:ilvl w:val="0"/>
          <w:numId w:val="20"/>
        </w:numPr>
        <w:rPr>
          <w:snapToGrid/>
          <w:kern w:val="0"/>
        </w:rPr>
      </w:pPr>
      <w:r>
        <w:t>Direct alert origination software providers to (1) separate live alerts from test environments and (2) include a prompt that uses specific language to confirm whether to issue a ballistic missile alert or similar alert or test message.</w:t>
      </w:r>
    </w:p>
    <w:p w:rsidR="008A5DDB" w:rsidRPr="008A5DDB" w:rsidP="008A5DDB">
      <w:pPr>
        <w:pStyle w:val="ParaNum"/>
        <w:numPr>
          <w:ilvl w:val="0"/>
          <w:numId w:val="20"/>
        </w:numPr>
        <w:rPr>
          <w:snapToGrid/>
        </w:rPr>
      </w:pPr>
      <w:r w:rsidRPr="00E87DC9">
        <w:rPr>
          <w:snapToGrid/>
        </w:rPr>
        <w:t xml:space="preserve">To minimize the potential for confusion, limit employee permissions to create or modify any internal drill message.  In addition, refrain from using phrases such as “This is Not a Drill” or “Real World” in test messages.  Instead, test messages should be clearly identified as tests and use language such as “This is a test.”  The script and content for actual emergency alerts versus test alerts should be clearly distinguishable. </w:t>
      </w:r>
    </w:p>
    <w:p w:rsidR="008A5DDB" w:rsidRPr="00EE45C9" w:rsidP="008A5DDB">
      <w:pPr>
        <w:pStyle w:val="ParaNum"/>
        <w:numPr>
          <w:ilvl w:val="0"/>
          <w:numId w:val="20"/>
        </w:numPr>
        <w:rPr>
          <w:snapToGrid/>
        </w:rPr>
      </w:pPr>
      <w:r w:rsidRPr="00EE45C9">
        <w:rPr>
          <w:snapToGrid/>
        </w:rPr>
        <w:t xml:space="preserve">Develop, in a manner consistent with the Commission’s rules, protocols governing tests, uses, and corrections to alerts that </w:t>
      </w:r>
      <w:r>
        <w:rPr>
          <w:snapToGrid/>
        </w:rPr>
        <w:t>are</w:t>
      </w:r>
      <w:r w:rsidRPr="00EE45C9">
        <w:rPr>
          <w:snapToGrid/>
        </w:rPr>
        <w:t xml:space="preserve"> sen</w:t>
      </w:r>
      <w:r>
        <w:rPr>
          <w:snapToGrid/>
        </w:rPr>
        <w:t>t</w:t>
      </w:r>
      <w:r w:rsidRPr="00EE45C9">
        <w:rPr>
          <w:snapToGrid/>
        </w:rPr>
        <w:t xml:space="preserve"> </w:t>
      </w:r>
      <w:r>
        <w:rPr>
          <w:snapToGrid/>
        </w:rPr>
        <w:t xml:space="preserve">to the public </w:t>
      </w:r>
      <w:r w:rsidRPr="00EE45C9">
        <w:rPr>
          <w:snapToGrid/>
        </w:rPr>
        <w:t xml:space="preserve">over </w:t>
      </w:r>
      <w:r>
        <w:rPr>
          <w:snapToGrid/>
        </w:rPr>
        <w:t xml:space="preserve">the </w:t>
      </w:r>
      <w:r w:rsidRPr="00EE45C9">
        <w:rPr>
          <w:snapToGrid/>
        </w:rPr>
        <w:t>EAS and WEA</w:t>
      </w:r>
      <w:r>
        <w:rPr>
          <w:snapToGrid/>
        </w:rPr>
        <w:t>.</w:t>
      </w:r>
    </w:p>
    <w:p w:rsidR="008A5DDB" w:rsidRPr="00907FDB" w:rsidP="008A5DDB">
      <w:pPr>
        <w:pStyle w:val="ParaNum"/>
        <w:numPr>
          <w:ilvl w:val="0"/>
          <w:numId w:val="20"/>
        </w:numPr>
        <w:rPr>
          <w:snapToGrid/>
          <w:kern w:val="0"/>
        </w:rPr>
      </w:pPr>
      <w:r>
        <w:t>Require supervisor approval and supervision of internal tests and proficiency training exercises.</w:t>
      </w:r>
    </w:p>
    <w:p w:rsidR="008A5DDB" w:rsidP="008A5DDB">
      <w:pPr>
        <w:pStyle w:val="ParaNum"/>
        <w:numPr>
          <w:ilvl w:val="0"/>
          <w:numId w:val="20"/>
        </w:numPr>
        <w:rPr>
          <w:snapToGrid/>
        </w:rPr>
      </w:pPr>
      <w:r w:rsidRPr="00E87DC9">
        <w:rPr>
          <w:snapToGrid/>
        </w:rPr>
        <w:t>Develop and memorialize standard operating procedures for responding to false alerts within their jurisdictions.  These standard operating procedures should specify that corrections to false alerts must be issued over the same systems used to issue the false alert, including the EAS and WEA, as well as other available means.</w:t>
      </w:r>
      <w:r>
        <w:rPr>
          <w:snapToGrid/>
        </w:rPr>
        <w:t xml:space="preserve">  </w:t>
      </w:r>
      <w:r w:rsidRPr="00E87DC9">
        <w:rPr>
          <w:snapToGrid/>
        </w:rPr>
        <w:t xml:space="preserve">They should also include procedures for notifying the media about false alerts. </w:t>
      </w:r>
    </w:p>
    <w:p w:rsidR="008A5DDB" w:rsidRPr="008A5DDB" w:rsidP="008A5DDB">
      <w:pPr>
        <w:pStyle w:val="ParaNum"/>
        <w:numPr>
          <w:ilvl w:val="0"/>
          <w:numId w:val="20"/>
        </w:numPr>
        <w:rPr>
          <w:snapToGrid/>
        </w:rPr>
      </w:pPr>
      <w:r w:rsidRPr="006E2ED0">
        <w:rPr>
          <w:snapToGrid/>
        </w:rPr>
        <w:t xml:space="preserve">For public-facing alerts and tests, have a plan in advance on how to use social media as a complementary means of communications, and integrate any plans to use social media into standard operating procedures, so that emergency managers know in advance how to use all available communications tools in a coordinated manner to improve public situational awareness and understanding. </w:t>
      </w:r>
    </w:p>
    <w:p w:rsidR="008A5DDB" w:rsidRPr="004D4EBE" w:rsidP="008A5DDB">
      <w:pPr>
        <w:pStyle w:val="ParaNum"/>
        <w:numPr>
          <w:ilvl w:val="0"/>
          <w:numId w:val="20"/>
        </w:numPr>
        <w:rPr>
          <w:snapToGrid/>
          <w:kern w:val="0"/>
        </w:rPr>
      </w:pPr>
      <w:r>
        <w:t>Carefully consider the use and frequency of no-notice drills and ensure appropriate supervision of no-notice drills and consistency with internal test protocols.</w:t>
      </w:r>
      <w:r w:rsidRPr="005830AE">
        <w:rPr>
          <w:i/>
          <w:iCs/>
        </w:rPr>
        <w:t xml:space="preserve"> </w:t>
      </w:r>
    </w:p>
    <w:p w:rsidR="008A5DDB" w:rsidRPr="00EA2384" w:rsidP="008A5DDB">
      <w:pPr>
        <w:pStyle w:val="ParaNum"/>
        <w:numPr>
          <w:ilvl w:val="0"/>
          <w:numId w:val="20"/>
        </w:numPr>
        <w:rPr>
          <w:snapToGrid/>
          <w:kern w:val="0"/>
          <w:szCs w:val="22"/>
        </w:rPr>
      </w:pPr>
      <w:r>
        <w:t>Consult with SECCs on a regular basis</w:t>
      </w:r>
      <w:r w:rsidRPr="003A21B7" w:rsidR="003A21B7">
        <w:t>—at least annually—</w:t>
      </w:r>
      <w:r>
        <w:t xml:space="preserve">to ensure that EAS procedures, including initiation and cancellation of actual alerts and tests, are mutually understood, agreed upon, and documented in the State EAS Plan.  </w:t>
      </w:r>
    </w:p>
    <w:p w:rsidR="008A5DDB" w:rsidRPr="004A5AE5" w:rsidP="008A5DDB">
      <w:pPr>
        <w:pStyle w:val="ParaNum"/>
        <w:numPr>
          <w:ilvl w:val="0"/>
          <w:numId w:val="20"/>
        </w:numPr>
        <w:rPr>
          <w:snapToGrid/>
          <w:kern w:val="0"/>
          <w:szCs w:val="22"/>
        </w:rPr>
      </w:pPr>
      <w:r>
        <w:t xml:space="preserve">Establish redundant and effective lines of communication with key stakeholders during emergencies, including by utilizing GETS cards and WPS, so that they can rely on planned workarounds in the event their phone lines become congested during emergencies.  </w:t>
      </w:r>
    </w:p>
    <w:p w:rsidR="00E9413C" w:rsidRPr="00EA2384" w:rsidP="001F0918">
      <w:pPr>
        <w:pStyle w:val="ParaNum"/>
        <w:ind w:left="0"/>
      </w:pPr>
      <w:r>
        <w:t xml:space="preserve">The Bureau </w:t>
      </w:r>
      <w:r w:rsidRPr="00C63D47" w:rsidR="00C63D47">
        <w:t xml:space="preserve">will follow up on these recommendations by </w:t>
      </w:r>
      <w:r w:rsidR="00D53660">
        <w:t>engag</w:t>
      </w:r>
      <w:r w:rsidR="00C63D47">
        <w:t>ing</w:t>
      </w:r>
      <w:r w:rsidR="00D53660">
        <w:t xml:space="preserve"> in </w:t>
      </w:r>
      <w:r>
        <w:t xml:space="preserve">additional outreach and education </w:t>
      </w:r>
      <w:r w:rsidR="00D53660">
        <w:t xml:space="preserve">to </w:t>
      </w:r>
      <w:r>
        <w:t xml:space="preserve">help </w:t>
      </w:r>
      <w:r w:rsidR="00D53660">
        <w:t xml:space="preserve">state </w:t>
      </w:r>
      <w:r>
        <w:t>emergency management agencies</w:t>
      </w:r>
      <w:r w:rsidR="004467F7">
        <w:t xml:space="preserve">, </w:t>
      </w:r>
      <w:r w:rsidRPr="00C63D47" w:rsidR="00C63D47">
        <w:t xml:space="preserve">EAS Participants, wireless providers, SECCs, </w:t>
      </w:r>
      <w:r w:rsidR="004467F7">
        <w:t xml:space="preserve">consumers and other stakeholders </w:t>
      </w:r>
      <w:r>
        <w:t>better understand the current and expected capabilities of EAS and WEA</w:t>
      </w:r>
      <w:r w:rsidR="00D53660">
        <w:t xml:space="preserve">.  </w:t>
      </w:r>
      <w:r w:rsidR="001F0918">
        <w:t xml:space="preserve">In this regard, </w:t>
      </w:r>
      <w:r w:rsidR="00D53660">
        <w:t>t</w:t>
      </w:r>
      <w:r>
        <w:t xml:space="preserve">he Bureau </w:t>
      </w:r>
      <w:r w:rsidR="00C96A6A">
        <w:t xml:space="preserve">plans to </w:t>
      </w:r>
      <w:r>
        <w:t xml:space="preserve">partner with FEMA </w:t>
      </w:r>
      <w:r w:rsidR="00D53660">
        <w:t xml:space="preserve">in </w:t>
      </w:r>
      <w:r w:rsidR="001F0918">
        <w:t xml:space="preserve">conducting </w:t>
      </w:r>
      <w:r w:rsidR="00D53660">
        <w:t xml:space="preserve">a </w:t>
      </w:r>
      <w:r>
        <w:t xml:space="preserve">joint webinar </w:t>
      </w:r>
      <w:r w:rsidRPr="001F0918" w:rsidR="001F0918">
        <w:t>to help ensure stakeholders have the information they need to take full advantage of these valuable public safety tools</w:t>
      </w:r>
      <w:r w:rsidR="001F0918">
        <w:t xml:space="preserve">.  </w:t>
      </w:r>
      <w:r>
        <w:t xml:space="preserve">The Bureau will also convene </w:t>
      </w:r>
      <w:r w:rsidR="004467F7">
        <w:t xml:space="preserve">a roundtable </w:t>
      </w:r>
      <w:r w:rsidR="001F0918">
        <w:t xml:space="preserve">with </w:t>
      </w:r>
      <w:r w:rsidR="004467F7">
        <w:t xml:space="preserve">state emergency managers, </w:t>
      </w:r>
      <w:r>
        <w:t>consumer groups, communications service providers</w:t>
      </w:r>
      <w:r w:rsidR="004467F7">
        <w:t xml:space="preserve">, and other stakeholders to discuss </w:t>
      </w:r>
      <w:r w:rsidR="001F0918">
        <w:t xml:space="preserve">the </w:t>
      </w:r>
      <w:r>
        <w:t xml:space="preserve">lessons </w:t>
      </w:r>
      <w:r w:rsidR="001F0918">
        <w:t xml:space="preserve">that should be </w:t>
      </w:r>
      <w:r>
        <w:t xml:space="preserve">learned from this </w:t>
      </w:r>
      <w:r w:rsidR="001F0918">
        <w:t>incident</w:t>
      </w:r>
      <w:r>
        <w:t xml:space="preserve">. </w:t>
      </w:r>
      <w:bookmarkStart w:id="186" w:name="_Toc479420549"/>
      <w:bookmarkStart w:id="187" w:name="_Toc479765331"/>
      <w:bookmarkStart w:id="188" w:name="_Toc479775721"/>
      <w:bookmarkStart w:id="189" w:name="_Toc480185627"/>
      <w:bookmarkStart w:id="190" w:name="_Toc480186029"/>
      <w:bookmarkStart w:id="191" w:name="_Toc481769922"/>
      <w:bookmarkStart w:id="192" w:name="_Toc481769923"/>
      <w:bookmarkStart w:id="193" w:name="_Toc481769924"/>
      <w:bookmarkStart w:id="194" w:name="_Toc481769925"/>
      <w:bookmarkStart w:id="195" w:name="_Toc481769930"/>
      <w:bookmarkEnd w:id="186"/>
      <w:bookmarkEnd w:id="187"/>
      <w:bookmarkEnd w:id="188"/>
      <w:bookmarkEnd w:id="189"/>
      <w:bookmarkEnd w:id="190"/>
      <w:bookmarkEnd w:id="191"/>
      <w:bookmarkEnd w:id="192"/>
      <w:bookmarkEnd w:id="193"/>
      <w:bookmarkEnd w:id="194"/>
      <w:bookmarkEnd w:id="195"/>
      <w:r>
        <w:t> </w:t>
      </w:r>
      <w:r w:rsidR="004467F7">
        <w:t xml:space="preserve"> </w:t>
      </w:r>
      <w:r w:rsidRPr="001F0918">
        <w:rPr>
          <w:szCs w:val="22"/>
        </w:rPr>
        <w:br w:type="page"/>
      </w:r>
    </w:p>
    <w:p w:rsidR="00E9413C" w:rsidRPr="003B50B9" w:rsidP="00E9413C">
      <w:pPr>
        <w:jc w:val="center"/>
        <w:rPr>
          <w:b/>
          <w:szCs w:val="22"/>
        </w:rPr>
      </w:pPr>
      <w:r>
        <w:rPr>
          <w:b/>
          <w:szCs w:val="22"/>
        </w:rPr>
        <w:t>APPENDIX A</w:t>
      </w:r>
    </w:p>
    <w:p w:rsidR="00E9413C" w:rsidRPr="003B50B9" w:rsidP="00E9413C">
      <w:pPr>
        <w:jc w:val="center"/>
        <w:rPr>
          <w:b/>
          <w:szCs w:val="22"/>
        </w:rPr>
      </w:pPr>
    </w:p>
    <w:p w:rsidR="00E9413C" w:rsidRPr="003B50B9" w:rsidP="00E9413C">
      <w:pPr>
        <w:jc w:val="center"/>
        <w:rPr>
          <w:b/>
          <w:szCs w:val="22"/>
        </w:rPr>
      </w:pPr>
      <w:r>
        <w:rPr>
          <w:b/>
          <w:szCs w:val="22"/>
        </w:rPr>
        <w:t>ILLUSTRATION OF FALSE ALERT AND CORRECTION ON EAS AND WEA</w:t>
      </w:r>
    </w:p>
    <w:p w:rsidR="00E9413C" w:rsidP="00E9413C">
      <w:pPr>
        <w:rPr>
          <w:szCs w:val="22"/>
        </w:rPr>
      </w:pPr>
    </w:p>
    <w:p w:rsidR="00E9413C" w:rsidP="00E9413C">
      <w:pPr>
        <w:jc w:val="center"/>
        <w:rPr>
          <w:szCs w:val="22"/>
        </w:rPr>
      </w:pPr>
    </w:p>
    <w:p w:rsidR="00E9413C" w:rsidRPr="005603D1" w:rsidP="00E9413C">
      <w:pPr>
        <w:jc w:val="center"/>
        <w:rPr>
          <w:noProof/>
          <w:snapToGrid/>
          <w:szCs w:val="22"/>
          <w:u w:val="single"/>
        </w:rPr>
      </w:pPr>
      <w:r>
        <w:rPr>
          <w:noProof/>
          <w:snapToGrid/>
          <w:szCs w:val="22"/>
        </w:rPr>
        <w:drawing>
          <wp:anchor distT="0" distB="0" distL="114300" distR="114300" simplePos="0" relativeHeight="251660288" behindDoc="1" locked="0" layoutInCell="1" allowOverlap="1">
            <wp:simplePos x="0" y="0"/>
            <wp:positionH relativeFrom="margin">
              <wp:posOffset>3248025</wp:posOffset>
            </wp:positionH>
            <wp:positionV relativeFrom="paragraph">
              <wp:posOffset>161290</wp:posOffset>
            </wp:positionV>
            <wp:extent cx="3095625" cy="2076450"/>
            <wp:effectExtent l="0" t="0" r="9525" b="0"/>
            <wp:wrapTight wrapText="bothSides">
              <wp:wrapPolygon>
                <wp:start x="0" y="0"/>
                <wp:lineTo x="0" y="21402"/>
                <wp:lineTo x="21534" y="21402"/>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798769" name="EAS Alert 2.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95625" cy="2076450"/>
                    </a:xfrm>
                    <a:prstGeom prst="rect">
                      <a:avLst/>
                    </a:prstGeom>
                  </pic:spPr>
                </pic:pic>
              </a:graphicData>
            </a:graphic>
            <wp14:sizeRelH relativeFrom="page">
              <wp14:pctWidth>0</wp14:pctWidth>
            </wp14:sizeRelH>
            <wp14:sizeRelV relativeFrom="page">
              <wp14:pctHeight>0</wp14:pctHeight>
            </wp14:sizeRelV>
          </wp:anchor>
        </w:drawing>
      </w:r>
    </w:p>
    <w:p w:rsidR="00E9413C" w:rsidP="00E9413C">
      <w:pPr>
        <w:rPr>
          <w:szCs w:val="22"/>
        </w:rPr>
      </w:pPr>
      <w:r>
        <w:rPr>
          <w:noProof/>
          <w:snapToGrid/>
          <w:szCs w:val="22"/>
        </w:rPr>
        <w:drawing>
          <wp:anchor distT="0" distB="0" distL="114300" distR="114300" simplePos="0" relativeHeight="251661312" behindDoc="1" locked="0" layoutInCell="1" allowOverlap="1">
            <wp:simplePos x="0" y="0"/>
            <wp:positionH relativeFrom="page">
              <wp:posOffset>4181475</wp:posOffset>
            </wp:positionH>
            <wp:positionV relativeFrom="paragraph">
              <wp:posOffset>2362835</wp:posOffset>
            </wp:positionV>
            <wp:extent cx="3095625" cy="1800225"/>
            <wp:effectExtent l="0" t="0" r="9525" b="9525"/>
            <wp:wrapTight wrapText="bothSides">
              <wp:wrapPolygon>
                <wp:start x="0" y="0"/>
                <wp:lineTo x="0" y="21486"/>
                <wp:lineTo x="21534" y="21486"/>
                <wp:lineTo x="215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85051" name="EAS Correction (002).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095625" cy="1800225"/>
                    </a:xfrm>
                    <a:prstGeom prst="rect">
                      <a:avLst/>
                    </a:prstGeom>
                  </pic:spPr>
                </pic:pic>
              </a:graphicData>
            </a:graphic>
            <wp14:sizeRelH relativeFrom="page">
              <wp14:pctWidth>0</wp14:pctWidth>
            </wp14:sizeRelH>
            <wp14:sizeRelV relativeFrom="page">
              <wp14:pctHeight>0</wp14:pctHeight>
            </wp14:sizeRelV>
          </wp:anchor>
        </w:drawing>
      </w:r>
      <w:r>
        <w:rPr>
          <w:noProof/>
          <w:snapToGrid/>
          <w:szCs w:val="22"/>
        </w:rPr>
        <w:drawing>
          <wp:anchor distT="0" distB="0" distL="114300" distR="114300" simplePos="0" relativeHeight="251659264" behindDoc="1" locked="0" layoutInCell="1" allowOverlap="1">
            <wp:simplePos x="0" y="0"/>
            <wp:positionH relativeFrom="margin">
              <wp:posOffset>0</wp:posOffset>
            </wp:positionH>
            <wp:positionV relativeFrom="paragraph">
              <wp:posOffset>2345690</wp:posOffset>
            </wp:positionV>
            <wp:extent cx="3102610" cy="1828800"/>
            <wp:effectExtent l="0" t="0" r="2540" b="0"/>
            <wp:wrapTight wrapText="bothSides">
              <wp:wrapPolygon>
                <wp:start x="0" y="0"/>
                <wp:lineTo x="0" y="21375"/>
                <wp:lineTo x="21485" y="21375"/>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77111" name="WEA Correction 2 (002).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02610" cy="1828800"/>
                    </a:xfrm>
                    <a:prstGeom prst="rect">
                      <a:avLst/>
                    </a:prstGeom>
                  </pic:spPr>
                </pic:pic>
              </a:graphicData>
            </a:graphic>
            <wp14:sizeRelH relativeFrom="page">
              <wp14:pctWidth>0</wp14:pctWidth>
            </wp14:sizeRelH>
            <wp14:sizeRelV relativeFrom="page">
              <wp14:pctHeight>0</wp14:pctHeight>
            </wp14:sizeRelV>
          </wp:anchor>
        </w:drawing>
      </w:r>
      <w:r>
        <w:rPr>
          <w:noProof/>
          <w:snapToGrid/>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3095625" cy="2063750"/>
            <wp:effectExtent l="0" t="0" r="9525" b="0"/>
            <wp:wrapTight wrapText="bothSides">
              <wp:wrapPolygon>
                <wp:start x="0" y="0"/>
                <wp:lineTo x="0" y="21334"/>
                <wp:lineTo x="21534" y="21334"/>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TcMngNX4AAEtww.0.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95625" cy="2063750"/>
                    </a:xfrm>
                    <a:prstGeom prst="rect">
                      <a:avLst/>
                    </a:prstGeom>
                  </pic:spPr>
                </pic:pic>
              </a:graphicData>
            </a:graphic>
            <wp14:sizeRelH relativeFrom="page">
              <wp14:pctWidth>0</wp14:pctWidth>
            </wp14:sizeRelH>
            <wp14:sizeRelV relativeFrom="page">
              <wp14:pctHeight>0</wp14:pctHeight>
            </wp14:sizeRelV>
          </wp:anchor>
        </w:drawing>
      </w:r>
    </w:p>
    <w:p w:rsidR="00E9413C" w:rsidRPr="003B50B9" w:rsidP="00E9413C">
      <w:pPr>
        <w:rPr>
          <w:szCs w:val="22"/>
        </w:rPr>
      </w:pPr>
    </w:p>
    <w:p w:rsidR="00E9413C" w:rsidRPr="005603D1" w:rsidP="00E9413C">
      <w:pPr>
        <w:rPr>
          <w:szCs w:val="22"/>
          <w:u w:val="single"/>
        </w:rPr>
      </w:pPr>
    </w:p>
    <w:p w:rsidR="00E9413C" w:rsidP="00E9413C">
      <w:pPr>
        <w:rPr>
          <w:szCs w:val="22"/>
        </w:rPr>
      </w:pPr>
    </w:p>
    <w:p w:rsidR="00E9413C" w:rsidRPr="003B50B9" w:rsidP="00E9413C">
      <w:pPr>
        <w:rPr>
          <w:szCs w:val="22"/>
        </w:rPr>
      </w:pPr>
    </w:p>
    <w:p w:rsidR="00E9413C" w:rsidP="00E9413C">
      <w:pPr>
        <w:rPr>
          <w:szCs w:val="22"/>
        </w:rPr>
      </w:pPr>
    </w:p>
    <w:p w:rsidR="00E9413C" w:rsidP="00E9413C">
      <w:pPr>
        <w:jc w:val="center"/>
        <w:rPr>
          <w:szCs w:val="22"/>
          <w:u w:val="single"/>
        </w:rPr>
      </w:pPr>
    </w:p>
    <w:p w:rsidR="00E9413C" w:rsidRPr="005603D1" w:rsidP="00E9413C">
      <w:pPr>
        <w:jc w:val="center"/>
        <w:rPr>
          <w:szCs w:val="22"/>
          <w:u w:val="single"/>
        </w:rPr>
      </w:pPr>
    </w:p>
    <w:p w:rsidR="00E9413C" w:rsidP="00E9413C">
      <w:pPr>
        <w:tabs>
          <w:tab w:val="left" w:pos="1995"/>
        </w:tabs>
        <w:rPr>
          <w:szCs w:val="22"/>
        </w:rPr>
      </w:pPr>
      <w:r>
        <w:rPr>
          <w:szCs w:val="22"/>
        </w:rPr>
        <w:tab/>
      </w:r>
    </w:p>
    <w:p w:rsidR="00E9413C" w:rsidRPr="003B50B9" w:rsidP="00E9413C">
      <w:pPr>
        <w:tabs>
          <w:tab w:val="left" w:pos="1995"/>
        </w:tabs>
        <w:jc w:val="center"/>
        <w:rPr>
          <w:szCs w:val="22"/>
        </w:rPr>
      </w:pPr>
    </w:p>
    <w:p w:rsidR="00E9413C" w:rsidP="00E9413C">
      <w:pPr>
        <w:widowControl/>
        <w:rPr>
          <w:b/>
          <w:szCs w:val="22"/>
        </w:rPr>
      </w:pPr>
      <w:r>
        <w:rPr>
          <w:b/>
          <w:szCs w:val="22"/>
        </w:rPr>
        <w:br w:type="page"/>
      </w:r>
    </w:p>
    <w:p w:rsidR="00E9413C" w:rsidP="00E9413C">
      <w:pPr>
        <w:jc w:val="center"/>
        <w:rPr>
          <w:b/>
          <w:szCs w:val="22"/>
        </w:rPr>
      </w:pPr>
      <w:r w:rsidRPr="003B50B9">
        <w:rPr>
          <w:b/>
          <w:szCs w:val="22"/>
        </w:rPr>
        <w:t xml:space="preserve">APPENDIX </w:t>
      </w:r>
      <w:r>
        <w:rPr>
          <w:b/>
          <w:szCs w:val="22"/>
        </w:rPr>
        <w:t>B</w:t>
      </w:r>
    </w:p>
    <w:p w:rsidR="00E9413C" w:rsidP="00E9413C">
      <w:pPr>
        <w:jc w:val="center"/>
        <w:rPr>
          <w:b/>
          <w:szCs w:val="22"/>
        </w:rPr>
      </w:pPr>
    </w:p>
    <w:p w:rsidR="00E9413C" w:rsidRPr="00E33FAC" w:rsidP="00E9413C">
      <w:pPr>
        <w:jc w:val="center"/>
        <w:rPr>
          <w:b/>
          <w:szCs w:val="22"/>
        </w:rPr>
      </w:pPr>
      <w:r>
        <w:rPr>
          <w:b/>
          <w:szCs w:val="22"/>
        </w:rPr>
        <w:t xml:space="preserve">ILLUSTATION OF HI-EMA’S </w:t>
      </w:r>
      <w:r w:rsidRPr="00E33FAC">
        <w:rPr>
          <w:b/>
          <w:szCs w:val="22"/>
        </w:rPr>
        <w:t xml:space="preserve">UPDATED </w:t>
      </w:r>
      <w:r w:rsidRPr="00D4436C">
        <w:rPr>
          <w:b/>
          <w:szCs w:val="22"/>
        </w:rPr>
        <w:t>ALERT</w:t>
      </w:r>
      <w:r w:rsidRPr="00E33FAC">
        <w:rPr>
          <w:b/>
          <w:szCs w:val="22"/>
        </w:rPr>
        <w:t xml:space="preserve"> ORIGINATION SOFTWARE</w:t>
      </w:r>
    </w:p>
    <w:p w:rsidR="00E9413C" w:rsidRPr="00930C05" w:rsidP="00E9413C">
      <w:pPr>
        <w:jc w:val="center"/>
        <w:rPr>
          <w:b/>
          <w:szCs w:val="22"/>
        </w:rPr>
      </w:pPr>
      <w:r w:rsidRPr="0055569F">
        <w:rPr>
          <w:b/>
          <w:szCs w:val="22"/>
        </w:rPr>
        <w:t>DROP-DOWN TEMPLATE</w:t>
      </w:r>
      <w:r>
        <w:rPr>
          <w:b/>
          <w:szCs w:val="22"/>
        </w:rPr>
        <w:t xml:space="preserve"> MENU</w:t>
      </w:r>
      <w:r>
        <w:rPr>
          <w:szCs w:val="22"/>
        </w:rPr>
        <w:tab/>
      </w:r>
    </w:p>
    <w:p w:rsidR="00E9413C" w:rsidP="00E9413C">
      <w:pPr>
        <w:jc w:val="center"/>
        <w:rPr>
          <w:szCs w:val="22"/>
        </w:rPr>
      </w:pPr>
    </w:p>
    <w:p w:rsidR="00E9413C" w:rsidP="00E9413C">
      <w:pPr>
        <w:jc w:val="center"/>
        <w:rPr>
          <w:szCs w:val="22"/>
        </w:rPr>
      </w:pPr>
    </w:p>
    <w:p w:rsidR="00E9413C" w:rsidP="00E9413C">
      <w:pPr>
        <w:jc w:val="center"/>
        <w:rPr>
          <w:szCs w:val="22"/>
        </w:rPr>
      </w:pPr>
      <w:r w:rsidRPr="00BC7E25">
        <w:rPr>
          <w:noProof/>
          <w:szCs w:val="22"/>
        </w:rPr>
        <w:drawing>
          <wp:inline distT="0" distB="0" distL="0" distR="0">
            <wp:extent cx="5305425" cy="2895600"/>
            <wp:effectExtent l="0" t="0" r="9525" b="0"/>
            <wp:docPr id="4" name="Picture 4" descr="N:\My Documents\Image-uploaded-from-i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82204" name="Picture 1" descr="N:\My Documents\Image-uploaded-from-iOS-1.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5425" cy="2895600"/>
                    </a:xfrm>
                    <a:prstGeom prst="rect">
                      <a:avLst/>
                    </a:prstGeom>
                    <a:noFill/>
                    <a:ln>
                      <a:noFill/>
                    </a:ln>
                  </pic:spPr>
                </pic:pic>
              </a:graphicData>
            </a:graphic>
          </wp:inline>
        </w:drawing>
      </w:r>
    </w:p>
    <w:p w:rsidR="00E9413C" w:rsidP="00E9413C">
      <w:pPr>
        <w:widowControl/>
        <w:rPr>
          <w:szCs w:val="22"/>
        </w:rPr>
      </w:pPr>
      <w:r>
        <w:rPr>
          <w:szCs w:val="22"/>
        </w:rPr>
        <w:br w:type="page"/>
      </w:r>
    </w:p>
    <w:p w:rsidR="00E9413C" w:rsidP="00E9413C">
      <w:pPr>
        <w:jc w:val="center"/>
        <w:rPr>
          <w:b/>
          <w:szCs w:val="22"/>
        </w:rPr>
      </w:pPr>
      <w:r w:rsidRPr="003B50B9">
        <w:rPr>
          <w:b/>
          <w:szCs w:val="22"/>
        </w:rPr>
        <w:t xml:space="preserve">APPENDIX </w:t>
      </w:r>
      <w:r>
        <w:rPr>
          <w:b/>
          <w:szCs w:val="22"/>
        </w:rPr>
        <w:t>C</w:t>
      </w:r>
    </w:p>
    <w:p w:rsidR="00E9413C" w:rsidP="00E9413C">
      <w:pPr>
        <w:jc w:val="center"/>
        <w:rPr>
          <w:b/>
          <w:szCs w:val="22"/>
        </w:rPr>
      </w:pPr>
    </w:p>
    <w:p w:rsidR="00F72607" w:rsidP="00E7098C">
      <w:pPr>
        <w:jc w:val="center"/>
      </w:pPr>
      <w:r>
        <w:rPr>
          <w:noProof/>
          <w:snapToGrid/>
          <w:szCs w:val="22"/>
        </w:rPr>
        <w:drawing>
          <wp:anchor distT="0" distB="0" distL="114300" distR="114300" simplePos="0" relativeHeight="251665408" behindDoc="1" locked="0" layoutInCell="1" allowOverlap="1">
            <wp:simplePos x="0" y="0"/>
            <wp:positionH relativeFrom="margin">
              <wp:posOffset>0</wp:posOffset>
            </wp:positionH>
            <wp:positionV relativeFrom="paragraph">
              <wp:posOffset>5313680</wp:posOffset>
            </wp:positionV>
            <wp:extent cx="5943600" cy="2476500"/>
            <wp:effectExtent l="0" t="0" r="0" b="0"/>
            <wp:wrapTight wrapText="bothSides">
              <wp:wrapPolygon>
                <wp:start x="0" y="0"/>
                <wp:lineTo x="0" y="21434"/>
                <wp:lineTo x="21531" y="21434"/>
                <wp:lineTo x="215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44103" name="HI-EMA Tweet.jp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5943600" cy="2476500"/>
                    </a:xfrm>
                    <a:prstGeom prst="rect">
                      <a:avLst/>
                    </a:prstGeom>
                  </pic:spPr>
                </pic:pic>
              </a:graphicData>
            </a:graphic>
            <wp14:sizeRelH relativeFrom="page">
              <wp14:pctWidth>0</wp14:pctWidth>
            </wp14:sizeRelH>
            <wp14:sizeRelV relativeFrom="page">
              <wp14:pctHeight>0</wp14:pctHeight>
            </wp14:sizeRelV>
          </wp:anchor>
        </w:drawing>
      </w:r>
      <w:r w:rsidR="00E9413C">
        <w:rPr>
          <w:noProof/>
          <w:snapToGrid/>
          <w:szCs w:val="22"/>
        </w:rPr>
        <w:drawing>
          <wp:anchor distT="0" distB="0" distL="114300" distR="114300" simplePos="0" relativeHeight="251663360" behindDoc="1" locked="0" layoutInCell="1" allowOverlap="1">
            <wp:simplePos x="0" y="0"/>
            <wp:positionH relativeFrom="margin">
              <wp:posOffset>0</wp:posOffset>
            </wp:positionH>
            <wp:positionV relativeFrom="paragraph">
              <wp:posOffset>3824605</wp:posOffset>
            </wp:positionV>
            <wp:extent cx="5943600" cy="1819275"/>
            <wp:effectExtent l="0" t="0" r="0" b="9525"/>
            <wp:wrapTight wrapText="bothSides">
              <wp:wrapPolygon>
                <wp:start x="0" y="0"/>
                <wp:lineTo x="0" y="21487"/>
                <wp:lineTo x="21531" y="21487"/>
                <wp:lineTo x="21531" y="0"/>
                <wp:lineTo x="0" y="0"/>
              </wp:wrapPolygon>
            </wp:wrapTight>
            <wp:docPr id="4849143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19606" name="Caldwell Tweet.png"/>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5943600" cy="1819275"/>
                    </a:xfrm>
                    <a:prstGeom prst="rect">
                      <a:avLst/>
                    </a:prstGeom>
                  </pic:spPr>
                </pic:pic>
              </a:graphicData>
            </a:graphic>
            <wp14:sizeRelH relativeFrom="page">
              <wp14:pctWidth>0</wp14:pctWidth>
            </wp14:sizeRelH>
            <wp14:sizeRelV relativeFrom="page">
              <wp14:pctHeight>0</wp14:pctHeight>
            </wp14:sizeRelV>
          </wp:anchor>
        </w:drawing>
      </w:r>
      <w:r w:rsidR="00E9413C">
        <w:rPr>
          <w:noProof/>
          <w:snapToGrid/>
          <w:szCs w:val="22"/>
        </w:rPr>
        <w:drawing>
          <wp:anchor distT="0" distB="0" distL="114300" distR="114300" simplePos="0" relativeHeight="251664384" behindDoc="1" locked="0" layoutInCell="1" allowOverlap="1">
            <wp:simplePos x="0" y="0"/>
            <wp:positionH relativeFrom="margin">
              <wp:align>right</wp:align>
            </wp:positionH>
            <wp:positionV relativeFrom="paragraph">
              <wp:posOffset>1424305</wp:posOffset>
            </wp:positionV>
            <wp:extent cx="5943600" cy="2524125"/>
            <wp:effectExtent l="0" t="0" r="0" b="9525"/>
            <wp:wrapTight wrapText="bothSides">
              <wp:wrapPolygon>
                <wp:start x="0" y="0"/>
                <wp:lineTo x="0" y="21518"/>
                <wp:lineTo x="21531" y="21518"/>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83328" name="Ige Tweet.pn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5943600" cy="2524125"/>
                    </a:xfrm>
                    <a:prstGeom prst="rect">
                      <a:avLst/>
                    </a:prstGeom>
                  </pic:spPr>
                </pic:pic>
              </a:graphicData>
            </a:graphic>
            <wp14:sizeRelH relativeFrom="page">
              <wp14:pctWidth>0</wp14:pctWidth>
            </wp14:sizeRelH>
            <wp14:sizeRelV relativeFrom="page">
              <wp14:pctHeight>0</wp14:pctHeight>
            </wp14:sizeRelV>
          </wp:anchor>
        </w:drawing>
      </w:r>
      <w:r w:rsidR="00E9413C">
        <w:rPr>
          <w:noProof/>
          <w:snapToGrid/>
          <w:szCs w:val="22"/>
        </w:rPr>
        <w:drawing>
          <wp:anchor distT="0" distB="0" distL="114300" distR="114300" simplePos="0" relativeHeight="251662336" behindDoc="1" locked="0" layoutInCell="1" allowOverlap="1">
            <wp:simplePos x="0" y="0"/>
            <wp:positionH relativeFrom="margin">
              <wp:align>right</wp:align>
            </wp:positionH>
            <wp:positionV relativeFrom="paragraph">
              <wp:posOffset>186055</wp:posOffset>
            </wp:positionV>
            <wp:extent cx="5943600" cy="1200150"/>
            <wp:effectExtent l="0" t="0" r="0" b="0"/>
            <wp:wrapTight wrapText="bothSides">
              <wp:wrapPolygon>
                <wp:start x="0" y="0"/>
                <wp:lineTo x="0" y="21257"/>
                <wp:lineTo x="21531" y="21257"/>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509454" name="Ige Facebook Post.png"/>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943600" cy="1200150"/>
                    </a:xfrm>
                    <a:prstGeom prst="rect">
                      <a:avLst/>
                    </a:prstGeom>
                  </pic:spPr>
                </pic:pic>
              </a:graphicData>
            </a:graphic>
            <wp14:sizeRelH relativeFrom="page">
              <wp14:pctWidth>0</wp14:pctWidth>
            </wp14:sizeRelH>
            <wp14:sizeRelV relativeFrom="page">
              <wp14:pctHeight>0</wp14:pctHeight>
            </wp14:sizeRelV>
          </wp:anchor>
        </w:drawing>
      </w:r>
      <w:r w:rsidR="00E9413C">
        <w:rPr>
          <w:b/>
          <w:szCs w:val="22"/>
        </w:rPr>
        <w:t>ILLUSTRATION OF CORRECTIONS ON SOCIAL MEDIA</w:t>
      </w:r>
    </w:p>
    <w:sectPr w:rsidSect="0055614C">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Castellar">
    <w:altName w:val="Times New Roman"/>
    <w:panose1 w:val="00000000000000000000"/>
    <w:charset w:val="00"/>
    <w:family w:val="roman"/>
    <w:notTrueType/>
    <w:pitch w:val="default"/>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A33" w:rsidP="0055614C">
    <w:pPr>
      <w:pStyle w:val="Footer"/>
      <w:framePr w:wrap="around" w:vAnchor="text" w:hAnchor="margin" w:xAlign="center" w:y="1"/>
    </w:pPr>
    <w:r>
      <w:fldChar w:fldCharType="begin"/>
    </w:r>
    <w:r>
      <w:instrText xml:space="preserve">PAGE  </w:instrText>
    </w:r>
    <w:r>
      <w:fldChar w:fldCharType="separate"/>
    </w:r>
    <w:r>
      <w:fldChar w:fldCharType="end"/>
    </w:r>
  </w:p>
  <w:p w:rsidR="003E6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A33" w:rsidP="0055614C">
    <w:pPr>
      <w:pStyle w:val="Footer"/>
      <w:framePr w:wrap="around" w:vAnchor="text" w:hAnchor="margin" w:xAlign="center" w:y="1"/>
    </w:pPr>
    <w:r>
      <w:fldChar w:fldCharType="begin"/>
    </w:r>
    <w:r>
      <w:instrText xml:space="preserve">PAGE  </w:instrText>
    </w:r>
    <w:r>
      <w:fldChar w:fldCharType="separate"/>
    </w:r>
    <w:r w:rsidR="00A50283">
      <w:rPr>
        <w:noProof/>
      </w:rPr>
      <w:t>2</w:t>
    </w:r>
    <w:r>
      <w:fldChar w:fldCharType="end"/>
    </w:r>
  </w:p>
  <w:p w:rsidR="003E6A33" w:rsidRPr="009D66DF" w:rsidP="009D66DF">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A3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6ACF" w:rsidP="00E9413C">
      <w:r>
        <w:separator/>
      </w:r>
    </w:p>
  </w:footnote>
  <w:footnote w:type="continuationSeparator" w:id="1">
    <w:p w:rsidR="006D6ACF" w:rsidP="00E9413C">
      <w:r>
        <w:continuationSeparator/>
      </w:r>
    </w:p>
  </w:footnote>
  <w:footnote w:type="continuationNotice" w:id="2">
    <w:p w:rsidR="006D6ACF"/>
  </w:footnote>
  <w:footnote w:id="3">
    <w:p w:rsidR="003E6A33" w:rsidRPr="00943B07">
      <w:pPr>
        <w:pStyle w:val="FootnoteText"/>
      </w:pPr>
      <w:r w:rsidRPr="00FE02A0">
        <w:rPr>
          <w:rStyle w:val="FootnoteReference"/>
        </w:rPr>
        <w:footnoteRef/>
      </w:r>
      <w:r w:rsidRPr="00FE02A0">
        <w:t xml:space="preserve"> </w:t>
      </w:r>
      <w:r w:rsidRPr="00FE02A0">
        <w:rPr>
          <w:i/>
        </w:rPr>
        <w:t>Se</w:t>
      </w:r>
      <w:r w:rsidRPr="00943B07">
        <w:rPr>
          <w:i/>
        </w:rPr>
        <w:t>e</w:t>
      </w:r>
      <w:r w:rsidRPr="00943B07">
        <w:t xml:space="preserve"> Library of Congress, </w:t>
      </w:r>
      <w:r w:rsidRPr="00943B07">
        <w:rPr>
          <w:i/>
        </w:rPr>
        <w:t>This Day in History – December 7, Air Raid on Pearl Harbor</w:t>
      </w:r>
      <w:r w:rsidRPr="00943B07">
        <w:t xml:space="preserve">, https://www.loc.gov/item/today-in-history/december-07/ (last visited Mar. 28, 2018). </w:t>
      </w:r>
    </w:p>
  </w:footnote>
  <w:footnote w:id="4">
    <w:p w:rsidR="003E6A33" w:rsidRPr="00943B07" w:rsidP="00E9413C">
      <w:pPr>
        <w:pStyle w:val="FootnoteText"/>
      </w:pPr>
      <w:r w:rsidRPr="00943B07">
        <w:rPr>
          <w:rStyle w:val="FootnoteReference"/>
        </w:rPr>
        <w:footnoteRef/>
      </w:r>
      <w:r w:rsidRPr="00943B07">
        <w:t xml:space="preserve"> HI-EMA is the emergency management agency for the State of Hawaii.  HI-EMA serves as the coordinating agency between </w:t>
      </w:r>
      <w:r w:rsidRPr="0079576F">
        <w:t xml:space="preserve">county </w:t>
      </w:r>
      <w:r w:rsidRPr="00943B07">
        <w:t xml:space="preserve">emergency management agencies in Hawaii </w:t>
      </w:r>
      <w:r w:rsidRPr="00183EE1">
        <w:t>and as State Warning Point.  The Public Safety and Homeland Security Bureau (Bureau) notes that in some instances, the factual representations arising from the Bureau’s investigation appear to differ from HI-EMA’s report on this matter.  For example, the Bureau’s investigators found that at 8:0</w:t>
      </w:r>
      <w:r w:rsidRPr="00F6136E">
        <w:t>7 a.m. the HI-EMA employee completed the process for initiating the false alert, versus the 8:06 a.m. time indicated in HI-EMA’s report, which describes the point in time when t</w:t>
      </w:r>
      <w:r w:rsidRPr="0071138A">
        <w:t xml:space="preserve">he employee who triggered the false alert first logged into the alert origination software.  </w:t>
      </w:r>
      <w:r w:rsidRPr="005D4713">
        <w:rPr>
          <w:i/>
        </w:rPr>
        <w:t>See</w:t>
      </w:r>
      <w:r w:rsidRPr="006A35CD">
        <w:t xml:space="preserve"> Brigadier General (Ret.) Bruce E. Olivera, Investigating Officer, False Ballistic Missile Alert Investigation for January 13, 2018</w:t>
      </w:r>
      <w:r>
        <w:t>,</w:t>
      </w:r>
      <w:r w:rsidRPr="00FB3E9C">
        <w:t xml:space="preserve"> (Jan. 29, 2018), at 1-</w:t>
      </w:r>
      <w:r w:rsidRPr="0071138A">
        <w:t>3 (</w:t>
      </w:r>
      <w:r w:rsidRPr="0071138A">
        <w:rPr>
          <w:i/>
        </w:rPr>
        <w:t>HI-EMA Report</w:t>
      </w:r>
      <w:r w:rsidRPr="0071138A">
        <w:t xml:space="preserve">), </w:t>
      </w:r>
      <w:r w:rsidRPr="00943B07">
        <w:t>https://dod.hawaii.gov/wp-content/uploads/2018/01/report2018-01-29-181149.pdf</w:t>
      </w:r>
      <w:r w:rsidRPr="00183EE1">
        <w:t>.  In such instances, the Bureau notes the discrepancy but relies on the Bureau’s in-person and telephone interviews with HI-EMA employees, as well as Bureau review of HI-EMA docu</w:t>
      </w:r>
      <w:r w:rsidRPr="00F6136E">
        <w:t xml:space="preserve">ments.  The Bureau takes a similar approach regarding discrepancies between its reporting and Hawaii’s “All-Hazards Preparedness Improvement Action Plan and Report.”  </w:t>
      </w:r>
      <w:r w:rsidRPr="0071138A">
        <w:rPr>
          <w:i/>
        </w:rPr>
        <w:t>See</w:t>
      </w:r>
      <w:r w:rsidRPr="0071138A">
        <w:t xml:space="preserve"> </w:t>
      </w:r>
      <w:r w:rsidRPr="00943B07">
        <w:t>Brigadier General Kenneth S. Hara, Deputy Adjutant General, State of Hawaii Department of Defense</w:t>
      </w:r>
      <w:r w:rsidRPr="00183EE1">
        <w:t xml:space="preserve">, </w:t>
      </w:r>
      <w:r w:rsidRPr="00943B07">
        <w:t>All-Hazards Preparedness Improvement Action Plan and Report</w:t>
      </w:r>
      <w:r>
        <w:t>,</w:t>
      </w:r>
      <w:r w:rsidRPr="00943B07">
        <w:t xml:space="preserve"> (Feb. 18, 2018) (</w:t>
      </w:r>
      <w:r w:rsidRPr="00943B07">
        <w:rPr>
          <w:i/>
        </w:rPr>
        <w:t>Hawaii Preparedness Report</w:t>
      </w:r>
      <w:r w:rsidRPr="00943B07">
        <w:t xml:space="preserve">) </w:t>
      </w:r>
      <w:r w:rsidRPr="0079576F">
        <w:t>(</w:t>
      </w:r>
      <w:r w:rsidRPr="00943B07">
        <w:t xml:space="preserve">concurring with the findings of the </w:t>
      </w:r>
      <w:r w:rsidRPr="00943B07">
        <w:rPr>
          <w:i/>
        </w:rPr>
        <w:t>HI-EMA Report</w:t>
      </w:r>
      <w:r w:rsidRPr="00943B07">
        <w:t>,</w:t>
      </w:r>
      <w:r w:rsidRPr="0079576F">
        <w:t xml:space="preserve"> and providing observations and recommendations to address emergency management preparedness in general and ballistic missile preparedness in specific)</w:t>
      </w:r>
      <w:r w:rsidRPr="00943B07">
        <w:t xml:space="preserve">, https://dod.hawaii.gov/wp-content/uploads/2018/02/Preparedness-Report-18FEB2018.pdf. </w:t>
      </w:r>
    </w:p>
  </w:footnote>
  <w:footnote w:id="5">
    <w:p w:rsidR="003E6A33" w:rsidRPr="00943B07" w:rsidP="0086600C">
      <w:pPr>
        <w:pStyle w:val="FootnoteText"/>
      </w:pPr>
      <w:r w:rsidRPr="00943B07">
        <w:rPr>
          <w:rStyle w:val="FootnoteReference"/>
        </w:rPr>
        <w:footnoteRef/>
      </w:r>
      <w:r w:rsidRPr="00943B07">
        <w:t xml:space="preserve"> </w:t>
      </w:r>
      <w:r w:rsidRPr="00943B07">
        <w:rPr>
          <w:i/>
        </w:rPr>
        <w:t xml:space="preserve">See </w:t>
      </w:r>
      <w:r w:rsidRPr="00943B07">
        <w:t xml:space="preserve">Appendix B (illustrating the appearance of both the WEA and EAS version of this false alert and HI-EMA’s subsequent corrections).  </w:t>
      </w:r>
    </w:p>
  </w:footnote>
  <w:footnote w:id="6">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Alia Wong, </w:t>
      </w:r>
      <w:r w:rsidRPr="00943B07">
        <w:rPr>
          <w:i/>
        </w:rPr>
        <w:t>Pandemonium and Rage in Hawaii</w:t>
      </w:r>
      <w:r w:rsidRPr="00943B07">
        <w:t xml:space="preserve">, The Atlantic (Jan. 14, 2018), https://www.theatlantic.com/international/archive/2018/01/pandemonium-and-rage-in-hawaii/550529/.  Hawaii has over 1.4 million residents and on the average day, Hawaii also has about 200,000 visitors.  </w:t>
      </w:r>
      <w:r w:rsidRPr="00943B07">
        <w:rPr>
          <w:i/>
        </w:rPr>
        <w:t>See Hawaii Preparedness Report</w:t>
      </w:r>
      <w:r w:rsidRPr="00943B07">
        <w:t xml:space="preserve"> at 6.</w:t>
      </w:r>
    </w:p>
  </w:footnote>
  <w:footnote w:id="7">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Sara Mattison, </w:t>
      </w:r>
      <w:r w:rsidRPr="00943B07">
        <w:rPr>
          <w:i/>
        </w:rPr>
        <w:t>“They Said That It Was a Mistake.”  Teen was First on Social Media to Debunk Missile Alert</w:t>
      </w:r>
      <w:r w:rsidRPr="00943B07">
        <w:t xml:space="preserve">, KHON (Jan. 17, 2018), http://khon2.com/2018/01/17/they-said-that-it-was-a-mistake-teen-was-first-on-social-media-to-debunk-missile-alert/; Daniel Politi, </w:t>
      </w:r>
      <w:r w:rsidRPr="00943B07">
        <w:rPr>
          <w:i/>
        </w:rPr>
        <w:t>After Incoming Missile Warning, People in Hawaii Wondered What to do With the Last Moments of Their Lives</w:t>
      </w:r>
      <w:r w:rsidRPr="00943B07">
        <w:t xml:space="preserve">, Slate (Jan. 13, 2018), https://slate.com/news-and-politics/2018/01/after-incoming-missile-warning-people-in-hawaii-wonder-what-to-do-with-last-moments-of-life.html; Daniel Drezner, </w:t>
      </w:r>
      <w:r w:rsidRPr="00943B07">
        <w:rPr>
          <w:i/>
        </w:rPr>
        <w:t>The Good News About Hawaii’s False Alarm</w:t>
      </w:r>
      <w:r w:rsidRPr="00943B07">
        <w:t xml:space="preserve">, The Washington Post (Jan. 16, 2018), https://www.washingtonpost.com/news/posteverything/wp/2018/01/16/the-good-news-about-hawaiis-false-alarm/?utm_term=.0e965577cb2b. </w:t>
      </w:r>
    </w:p>
  </w:footnote>
  <w:footnote w:id="8">
    <w:p w:rsidR="003E6A33" w:rsidRPr="00943B07" w:rsidP="000837B8">
      <w:pPr>
        <w:pStyle w:val="FootnoteText"/>
      </w:pPr>
      <w:r w:rsidRPr="00943B07">
        <w:rPr>
          <w:rStyle w:val="FootnoteReference"/>
        </w:rPr>
        <w:footnoteRef/>
      </w:r>
      <w:r w:rsidRPr="00943B07">
        <w:t xml:space="preserve"> In a memo to the Bureau staff, the National Association of the Deaf detailed the experiences of its Board of Directors on the morning of January 13, 2018, in Hawaii immediately before and after the false ballistic missile alert at 8:07 a.m.  Memorandum from Howard A. Rosenblum, Chief Executive Officer, National Association of the Deaf (NAD) to Linda Pintro, Attorney-Advisor, FCC Public Safety and Homeland Security Bureau at 2 (Feb</w:t>
      </w:r>
      <w:r>
        <w:t>.</w:t>
      </w:r>
      <w:r w:rsidRPr="00943B07">
        <w:t xml:space="preserve"> 8, 2018) (on file with Linda Pintro).</w:t>
      </w:r>
      <w:r>
        <w:t xml:space="preserve">  </w:t>
      </w:r>
      <w:r w:rsidRPr="00943B07">
        <w:t xml:space="preserve">The NAD Board of Directors and staff, all deaf, decided to move into a windowless storage room of a school library for the duration of the perceived attack.  </w:t>
      </w:r>
      <w:r w:rsidRPr="007A06E4">
        <w:rPr>
          <w:i/>
        </w:rPr>
        <w:t>Id</w:t>
      </w:r>
      <w:r>
        <w:t xml:space="preserve">. </w:t>
      </w:r>
    </w:p>
  </w:footnote>
  <w:footnote w:id="9">
    <w:p w:rsidR="003E6A33" w:rsidRPr="00943B07" w:rsidP="00FC4FC2">
      <w:pPr>
        <w:pStyle w:val="FootnoteText"/>
      </w:pPr>
      <w:r w:rsidRPr="00943B07">
        <w:rPr>
          <w:rStyle w:val="FootnoteReference"/>
        </w:rPr>
        <w:footnoteRef/>
      </w:r>
      <w:r w:rsidRPr="00943B07">
        <w:t xml:space="preserve"> NAD noted that after about 20 minutes there was a tweet from government officials that Hawaii was not under attack, but it wasn’t until 8:45 a.m. that the Board of Directors received the correction alert advising that Hawaii was not in danger from a missile attack.  </w:t>
      </w:r>
      <w:r>
        <w:rPr>
          <w:i/>
        </w:rPr>
        <w:t>Id</w:t>
      </w:r>
      <w:r w:rsidRPr="00943B07">
        <w:t xml:space="preserve">. </w:t>
      </w:r>
    </w:p>
  </w:footnote>
  <w:footnote w:id="10">
    <w:p w:rsidR="003E6A33" w:rsidRPr="00943B07">
      <w:pPr>
        <w:pStyle w:val="FootnoteText"/>
      </w:pPr>
      <w:r w:rsidRPr="00943B07">
        <w:rPr>
          <w:rStyle w:val="FootnoteReference"/>
        </w:rPr>
        <w:footnoteRef/>
      </w:r>
      <w:r w:rsidRPr="00943B07">
        <w:t xml:space="preserve"> </w:t>
      </w:r>
      <w:r w:rsidRPr="00943B07">
        <w:rPr>
          <w:i/>
        </w:rPr>
        <w:t>Id</w:t>
      </w:r>
      <w:r w:rsidRPr="00943B07">
        <w:t>.</w:t>
      </w:r>
    </w:p>
  </w:footnote>
  <w:footnote w:id="11">
    <w:p w:rsidR="003E6A33" w:rsidRPr="00943B07" w:rsidP="00E9413C">
      <w:pPr>
        <w:widowControl/>
        <w:autoSpaceDE w:val="0"/>
        <w:autoSpaceDN w:val="0"/>
        <w:adjustRightInd w:val="0"/>
        <w:spacing w:after="120"/>
        <w:rPr>
          <w:iCs/>
          <w:sz w:val="20"/>
        </w:rPr>
      </w:pPr>
      <w:r w:rsidRPr="00943B07">
        <w:rPr>
          <w:rStyle w:val="FootnoteReference"/>
        </w:rPr>
        <w:footnoteRef/>
      </w:r>
      <w:r w:rsidRPr="00943B07">
        <w:rPr>
          <w:sz w:val="20"/>
        </w:rPr>
        <w:t xml:space="preserve"> Statement of Chairman Pai </w:t>
      </w:r>
      <w:r w:rsidRPr="00943B07">
        <w:rPr>
          <w:i/>
          <w:sz w:val="20"/>
        </w:rPr>
        <w:t>re</w:t>
      </w:r>
      <w:r w:rsidRPr="00943B07">
        <w:rPr>
          <w:sz w:val="20"/>
        </w:rPr>
        <w:t xml:space="preserve"> </w:t>
      </w:r>
      <w:r w:rsidRPr="00943B07">
        <w:rPr>
          <w:iCs/>
          <w:snapToGrid/>
          <w:kern w:val="0"/>
          <w:sz w:val="20"/>
        </w:rPr>
        <w:t xml:space="preserve">January 30, 2018 Preliminary Report on the Investigation into the False Emergency Alert in Hawaii (Jan. 30, 2018). </w:t>
      </w:r>
    </w:p>
  </w:footnote>
  <w:footnote w:id="12">
    <w:p w:rsidR="003E6A33" w:rsidRPr="00943B07" w:rsidP="00993290">
      <w:pPr>
        <w:pStyle w:val="NormalWeb"/>
        <w:spacing w:after="120"/>
        <w:rPr>
          <w:sz w:val="20"/>
          <w:szCs w:val="20"/>
        </w:rPr>
      </w:pPr>
      <w:bookmarkStart w:id="37" w:name="_Hlk505943772"/>
      <w:r w:rsidRPr="00943B07">
        <w:rPr>
          <w:rStyle w:val="FootnoteReference"/>
          <w:szCs w:val="20"/>
        </w:rPr>
        <w:footnoteRef/>
      </w:r>
      <w:r w:rsidRPr="00943B07">
        <w:rPr>
          <w:sz w:val="20"/>
          <w:szCs w:val="20"/>
        </w:rPr>
        <w:t xml:space="preserve"> </w:t>
      </w:r>
      <w:r w:rsidRPr="00943B07">
        <w:rPr>
          <w:bCs/>
          <w:sz w:val="20"/>
          <w:szCs w:val="20"/>
        </w:rPr>
        <w:t xml:space="preserve">Bureau staff arranged with HI-EMA for the Bureau investigators to interview the warning officer who initiated the alert.  When the Bureau investigators arrived at HI-EMA, however, they were informed that the warning officer who initiated the alert was not cooperating in the investigation and would not agree to be interviewed by the Bureau.  Bureau investigators did interview HI-EMA supervisory staff and other HI-EMA employees who were on duty when the false alert was issued.  In addition, HI-EMA subsequently relayed to the Bureau information from a written statement provided to HI-EMA from </w:t>
      </w:r>
      <w:bookmarkStart w:id="38" w:name="_Hlk509510019"/>
      <w:r w:rsidRPr="00943B07">
        <w:rPr>
          <w:bCs/>
          <w:sz w:val="20"/>
          <w:szCs w:val="20"/>
        </w:rPr>
        <w:t>the employee who triggered the false alert</w:t>
      </w:r>
      <w:bookmarkEnd w:id="38"/>
      <w:r w:rsidRPr="00943B07">
        <w:rPr>
          <w:bCs/>
          <w:sz w:val="20"/>
          <w:szCs w:val="20"/>
        </w:rPr>
        <w:t>.  Although the Bureau investigators did not interview that employee directly, the Bureau believes that the information that HI-EMA relayed to the Bureau staff from the employee’s statement, in combination with that received from other HI-EMA staff, is sufficiently specific that an interview with the employee who triggered the false alert would not materially change the content of this report or the Bureau’s recommendations. </w:t>
      </w:r>
      <w:bookmarkEnd w:id="37"/>
    </w:p>
  </w:footnote>
  <w:footnote w:id="13">
    <w:p w:rsidR="003E6A33" w:rsidRPr="00943B07" w:rsidP="00993290">
      <w:pPr>
        <w:pStyle w:val="FootnoteText"/>
      </w:pPr>
      <w:r w:rsidRPr="00943B07">
        <w:rPr>
          <w:rStyle w:val="FootnoteReference"/>
        </w:rPr>
        <w:footnoteRef/>
      </w:r>
      <w:r w:rsidRPr="00943B07">
        <w:t xml:space="preserve"> </w:t>
      </w:r>
      <w:bookmarkStart w:id="39" w:name="_Hlk505954902"/>
      <w:r w:rsidRPr="00943B07">
        <w:t>In the course of its investigation, PSHSB had discussions with alert origination software providers (AlertSense,</w:t>
      </w:r>
      <w:r w:rsidRPr="0079576F">
        <w:t xml:space="preserve"> Comlabs, GSS Alert S</w:t>
      </w:r>
      <w:r w:rsidRPr="00943B07">
        <w:t>tudios; Interop Technologies, NC4</w:t>
      </w:r>
      <w:r>
        <w:t>,</w:t>
      </w:r>
      <w:r w:rsidRPr="00943B07">
        <w:t xml:space="preserve"> OnSolve, and Everbridge)</w:t>
      </w:r>
      <w:r>
        <w:t>;</w:t>
      </w:r>
      <w:r w:rsidRPr="00943B07">
        <w:t xml:space="preserve"> emergency management agencies (Big City Emergency Managers, Harris County, Texas, Office of Homeland Security and Emergency Management, New York City, New York, Office of Emergency Management, Seattle Office of Emergency Management, and the San Diego Office of Emergency Management)</w:t>
      </w:r>
      <w:r>
        <w:t>;</w:t>
      </w:r>
      <w:r w:rsidRPr="00943B07">
        <w:t xml:space="preserve"> wireless providers (AT&amp;T, Verizon, Sprint, T-Mobile, and the Competitive Carriers Association)</w:t>
      </w:r>
      <w:r>
        <w:t>;</w:t>
      </w:r>
      <w:r w:rsidRPr="00943B07">
        <w:t xml:space="preserve"> federal partners and civil right organizations, (FEMA, the National Weather Service, PACOM, and NAD)</w:t>
      </w:r>
      <w:r>
        <w:t>;</w:t>
      </w:r>
      <w:r w:rsidRPr="00943B07">
        <w:t xml:space="preserve"> and other stakeholders (</w:t>
      </w:r>
      <w:r w:rsidRPr="00183EE1">
        <w:t xml:space="preserve">HAB, the </w:t>
      </w:r>
      <w:r w:rsidRPr="00943B07">
        <w:t>Hawaii SECC, Sandwich Isles Wireless, Hawaiian Telecom Inc., and Hawaii state representatives).</w:t>
      </w:r>
      <w:bookmarkEnd w:id="39"/>
    </w:p>
  </w:footnote>
  <w:footnote w:id="14">
    <w:p w:rsidR="003E6A33" w:rsidRPr="00943B07" w:rsidP="00FD6D69">
      <w:pPr>
        <w:pStyle w:val="FootnoteText"/>
      </w:pPr>
      <w:r w:rsidRPr="00943B07">
        <w:rPr>
          <w:rStyle w:val="FootnoteReference"/>
        </w:rPr>
        <w:footnoteRef/>
      </w:r>
      <w:r w:rsidRPr="00943B07">
        <w:t xml:space="preserve"> </w:t>
      </w:r>
      <w:bookmarkStart w:id="40" w:name="_Hlk506401791"/>
      <w:r w:rsidRPr="00943B07">
        <w:rPr>
          <w:i/>
        </w:rPr>
        <w:t>See generally</w:t>
      </w:r>
      <w:r>
        <w:t>,</w:t>
      </w:r>
      <w:r w:rsidRPr="00943B07">
        <w:t xml:space="preserve"> </w:t>
      </w:r>
      <w:bookmarkStart w:id="41" w:name="_Hlk507338030"/>
      <w:r w:rsidRPr="00943B07">
        <w:rPr>
          <w:i/>
        </w:rPr>
        <w:t>HI-EMA Report</w:t>
      </w:r>
      <w:bookmarkEnd w:id="41"/>
      <w:r w:rsidRPr="00943B07">
        <w:rPr>
          <w:i/>
        </w:rPr>
        <w:t xml:space="preserve">, supra </w:t>
      </w:r>
      <w:r w:rsidRPr="00943B07">
        <w:t xml:space="preserve">note </w:t>
      </w:r>
      <w:r w:rsidRPr="00183EE1">
        <w:fldChar w:fldCharType="begin"/>
      </w:r>
      <w:r w:rsidRPr="00943B07">
        <w:instrText xml:space="preserve"> NOTEREF _Ref506560598 \h  \* MERGEFORMAT </w:instrText>
      </w:r>
      <w:r w:rsidRPr="00183EE1">
        <w:fldChar w:fldCharType="separate"/>
      </w:r>
      <w:r w:rsidR="00520284">
        <w:t>2</w:t>
      </w:r>
      <w:r w:rsidRPr="00183EE1">
        <w:fldChar w:fldCharType="end"/>
      </w:r>
      <w:r w:rsidRPr="00943B07">
        <w:t xml:space="preserve">. </w:t>
      </w:r>
      <w:bookmarkEnd w:id="40"/>
    </w:p>
  </w:footnote>
  <w:footnote w:id="15">
    <w:p w:rsidR="003E6A33" w:rsidRPr="00943B07">
      <w:pPr>
        <w:pStyle w:val="FootnoteText"/>
      </w:pPr>
      <w:r w:rsidRPr="00943B07">
        <w:rPr>
          <w:rStyle w:val="FootnoteReference"/>
        </w:rPr>
        <w:footnoteRef/>
      </w:r>
      <w:r w:rsidRPr="00943B07">
        <w:t xml:space="preserve"> </w:t>
      </w:r>
      <w:r w:rsidRPr="00943B07">
        <w:rPr>
          <w:i/>
        </w:rPr>
        <w:t>See</w:t>
      </w:r>
      <w:r w:rsidRPr="00943B07">
        <w:t xml:space="preserve"> Press Conference, Missile Alarm Live Stream, http://dod.hawaii.gov/hiema/false-alarm-incidents-internal-investigation-complete-release-of-results-and-actions/ (last visited Mar. 28, 2018).</w:t>
      </w:r>
    </w:p>
  </w:footnote>
  <w:footnote w:id="16">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w:t>
      </w:r>
      <w:r w:rsidRPr="00D435D7">
        <w:rPr>
          <w:i/>
        </w:rPr>
        <w:t>Hawaii Preparedness Report</w:t>
      </w:r>
      <w:r w:rsidRPr="00943B07">
        <w:rPr>
          <w:i/>
        </w:rPr>
        <w:t>, supra</w:t>
      </w:r>
      <w:r w:rsidRPr="00943B07">
        <w:t xml:space="preserve"> note </w:t>
      </w:r>
      <w:r w:rsidRPr="00183EE1">
        <w:fldChar w:fldCharType="begin"/>
      </w:r>
      <w:r w:rsidRPr="00943B07">
        <w:instrText xml:space="preserve"> NOTEREF _Ref506560598 \h  \* MERGEFORMAT </w:instrText>
      </w:r>
      <w:r w:rsidRPr="00183EE1">
        <w:fldChar w:fldCharType="separate"/>
      </w:r>
      <w:r w:rsidR="00520284">
        <w:t>2</w:t>
      </w:r>
      <w:r w:rsidRPr="00183EE1">
        <w:fldChar w:fldCharType="end"/>
      </w:r>
      <w:r w:rsidRPr="00943B07">
        <w:t xml:space="preserve">.  </w:t>
      </w:r>
      <w:r w:rsidRPr="00943B07">
        <w:rPr>
          <w:i/>
        </w:rPr>
        <w:t>See also</w:t>
      </w:r>
      <w:r w:rsidRPr="00943B07">
        <w:t xml:space="preserve"> Hawaii Emergency Management Agency,</w:t>
      </w:r>
      <w:r w:rsidRPr="00943B07">
        <w:rPr>
          <w:i/>
        </w:rPr>
        <w:t xml:space="preserve"> FAQs Related to Ballistic Missile False Alert </w:t>
      </w:r>
      <w:r w:rsidRPr="00943B07">
        <w:t>(Jan. 13, 2018 revised Jan. 31, 2018), http://dod.hawaii.gov/hiema/faqs-related-to-the-ballistic-missile-false-alert/</w:t>
      </w:r>
      <w:r>
        <w:t>;</w:t>
      </w:r>
      <w:r w:rsidRPr="00943B07">
        <w:t xml:space="preserve"> Hawaii Emergency Management Agency,</w:t>
      </w:r>
      <w:r w:rsidRPr="00943B07">
        <w:rPr>
          <w:i/>
        </w:rPr>
        <w:t xml:space="preserve"> Statement on Missile Launch False Alarm</w:t>
      </w:r>
      <w:r w:rsidRPr="00943B07">
        <w:t xml:space="preserve"> (Jan. 13, 2018), https://dod.hawaii.gov/hiema/files/2018/01/20180113-NR-HI-EMA-statement-on-missile-launch-false-alarm.pdf.  As discussed above, this report will use the facts as determined in the FCC investigation but note in footnotes any discrepancies with the </w:t>
      </w:r>
      <w:r w:rsidRPr="00943B07">
        <w:rPr>
          <w:i/>
        </w:rPr>
        <w:t xml:space="preserve">HI-EMA Report </w:t>
      </w:r>
      <w:r w:rsidRPr="00943B07">
        <w:t xml:space="preserve">and the </w:t>
      </w:r>
      <w:r w:rsidRPr="00943B07">
        <w:rPr>
          <w:i/>
        </w:rPr>
        <w:t>Hawaii Preparedness Report</w:t>
      </w:r>
      <w:r w:rsidRPr="00943B07">
        <w:t>.</w:t>
      </w:r>
    </w:p>
  </w:footnote>
  <w:footnote w:id="17">
    <w:p w:rsidR="003E6A33" w:rsidRPr="00943B07">
      <w:pPr>
        <w:pStyle w:val="FootnoteText"/>
      </w:pPr>
      <w:r w:rsidRPr="00943B07">
        <w:rPr>
          <w:rStyle w:val="FootnoteReference"/>
        </w:rPr>
        <w:footnoteRef/>
      </w:r>
      <w:r w:rsidRPr="00943B07">
        <w:t xml:space="preserve"> </w:t>
      </w:r>
      <w:r w:rsidRPr="00943B07">
        <w:rPr>
          <w:i/>
        </w:rPr>
        <w:t>See</w:t>
      </w:r>
      <w:r w:rsidRPr="00943B07">
        <w:t xml:space="preserve"> </w:t>
      </w:r>
      <w:r w:rsidRPr="00943B07">
        <w:rPr>
          <w:i/>
        </w:rPr>
        <w:t>State releases heavily redacted recording of HI-EMA’s missile mistake test</w:t>
      </w:r>
      <w:r w:rsidRPr="00943B07">
        <w:t xml:space="preserve">, Hawaii News Now, (Mar. 14, 2018), </w:t>
      </w:r>
      <w:r w:rsidRPr="00133A6E">
        <w:t>http://www.hawaiinewsnow.com/story/37727761/state-releases-heavily-redacted-recording-of-hi-emas-missile-mistake-test</w:t>
      </w:r>
      <w:r>
        <w:t xml:space="preserve"> (</w:t>
      </w:r>
      <w:r w:rsidRPr="00EB5335">
        <w:rPr>
          <w:i/>
        </w:rPr>
        <w:t>HI-EMA Audio File</w:t>
      </w:r>
      <w:r>
        <w:t>)</w:t>
      </w:r>
      <w:r w:rsidRPr="00943B07">
        <w:t xml:space="preserve">.  </w:t>
      </w:r>
    </w:p>
  </w:footnote>
  <w:footnote w:id="18">
    <w:p w:rsidR="003E6A33">
      <w:pPr>
        <w:pStyle w:val="FootnoteText"/>
      </w:pPr>
      <w:r>
        <w:rPr>
          <w:rStyle w:val="FootnoteReference"/>
        </w:rPr>
        <w:footnoteRef/>
      </w:r>
      <w:r>
        <w:t xml:space="preserve"> </w:t>
      </w:r>
      <w:r w:rsidRPr="00BF5A27">
        <w:rPr>
          <w:i/>
          <w:iCs/>
        </w:rPr>
        <w:t>Hawaii False Missile Alert: What Happened and What Should We Do Next?</w:t>
      </w:r>
      <w:r w:rsidRPr="00BF5A27">
        <w:t xml:space="preserve"> Before the </w:t>
      </w:r>
      <w:r w:rsidRPr="00BF5A27">
        <w:rPr>
          <w:lang w:val="en"/>
        </w:rPr>
        <w:t>Subcomm. on Communications, Technology, Innovation, and the Internet</w:t>
      </w:r>
      <w:r w:rsidRPr="00BF5A27">
        <w:t xml:space="preserve"> of the S. Comm. on Commerce, Science &amp; Transportation, (Apr. 5, 2018).</w:t>
      </w:r>
    </w:p>
  </w:footnote>
  <w:footnote w:id="19">
    <w:p w:rsidR="003E6A33" w:rsidRPr="00943B07" w:rsidP="00446083">
      <w:pPr>
        <w:spacing w:after="120"/>
        <w:rPr>
          <w:sz w:val="20"/>
        </w:rPr>
      </w:pPr>
      <w:r w:rsidRPr="00943B07">
        <w:rPr>
          <w:rStyle w:val="FootnoteReference"/>
        </w:rPr>
        <w:footnoteRef/>
      </w:r>
      <w:r w:rsidRPr="00943B07">
        <w:rPr>
          <w:sz w:val="20"/>
        </w:rPr>
        <w:t xml:space="preserve"> Specifically, the Bureau observes that Hawaii Governor David Ige signed an Executive Order to conduct a comprehensive review of the state’s emergency response system, including notifications and warnings, and make recommendations for improvement.  </w:t>
      </w:r>
      <w:r w:rsidRPr="00943B07">
        <w:rPr>
          <w:i/>
          <w:sz w:val="20"/>
        </w:rPr>
        <w:t>See</w:t>
      </w:r>
      <w:r w:rsidRPr="00943B07">
        <w:rPr>
          <w:sz w:val="20"/>
        </w:rPr>
        <w:t xml:space="preserve"> Executive Order No. 18-01 (Jan. 15, 2018), https://governor.hawaii.gov/wp-content/uploads/2018/01/Executive-Order18-01-EM.pdf</w:t>
      </w:r>
      <w:r w:rsidRPr="00943B07">
        <w:rPr>
          <w:bCs/>
          <w:sz w:val="20"/>
        </w:rPr>
        <w:t xml:space="preserve">.  </w:t>
      </w:r>
    </w:p>
  </w:footnote>
  <w:footnote w:id="20">
    <w:p w:rsidR="003E6A33" w:rsidRPr="00943B07" w:rsidP="00E9413C">
      <w:pPr>
        <w:pStyle w:val="FootnoteText"/>
      </w:pPr>
      <w:r w:rsidRPr="00943B07">
        <w:rPr>
          <w:rStyle w:val="FootnoteReference"/>
        </w:rPr>
        <w:footnoteRef/>
      </w:r>
      <w:r w:rsidRPr="00943B07">
        <w:t xml:space="preserve"> 47 U.S.C. § 151. </w:t>
      </w:r>
    </w:p>
  </w:footnote>
  <w:footnote w:id="21">
    <w:p w:rsidR="003E6A33" w:rsidRPr="00943B07" w:rsidP="00E9413C">
      <w:pPr>
        <w:pStyle w:val="ParaNum"/>
        <w:widowControl/>
        <w:numPr>
          <w:ilvl w:val="0"/>
          <w:numId w:val="0"/>
        </w:numPr>
        <w:rPr>
          <w:sz w:val="20"/>
        </w:rPr>
      </w:pPr>
      <w:r w:rsidRPr="00943B07">
        <w:rPr>
          <w:rStyle w:val="FootnoteReference"/>
        </w:rPr>
        <w:footnoteRef/>
      </w:r>
      <w:r w:rsidRPr="00943B07">
        <w:rPr>
          <w:sz w:val="20"/>
        </w:rPr>
        <w:t xml:space="preserve"> The integrity of the EAS is maintained through the Commission’s EAS rules for testing the system, </w:t>
      </w:r>
      <w:r w:rsidRPr="00943B07">
        <w:rPr>
          <w:i/>
          <w:sz w:val="20"/>
        </w:rPr>
        <w:t>see</w:t>
      </w:r>
      <w:r w:rsidRPr="00943B07">
        <w:rPr>
          <w:sz w:val="20"/>
        </w:rPr>
        <w:t xml:space="preserve"> 47 CFR §</w:t>
      </w:r>
      <w:r>
        <w:rPr>
          <w:sz w:val="20"/>
        </w:rPr>
        <w:t> </w:t>
      </w:r>
      <w:r w:rsidRPr="00943B07">
        <w:rPr>
          <w:sz w:val="20"/>
        </w:rPr>
        <w:t xml:space="preserve">11.61, the prohibition against the unauthorized use of the EAS Attention Signal and codes, </w:t>
      </w:r>
      <w:r w:rsidRPr="00943B07">
        <w:rPr>
          <w:i/>
          <w:sz w:val="20"/>
        </w:rPr>
        <w:t>see</w:t>
      </w:r>
      <w:r w:rsidRPr="00943B07">
        <w:rPr>
          <w:sz w:val="20"/>
        </w:rPr>
        <w:t xml:space="preserve"> 47 CFR §§ 11.45, 11.46, and requiring that EAS participants keep their EAS equipment in good working order.  </w:t>
      </w:r>
      <w:r w:rsidRPr="00943B07">
        <w:rPr>
          <w:i/>
          <w:sz w:val="20"/>
        </w:rPr>
        <w:t>See</w:t>
      </w:r>
      <w:r w:rsidRPr="00943B07">
        <w:rPr>
          <w:sz w:val="20"/>
        </w:rPr>
        <w:t xml:space="preserve"> 47 CFR § 11.35.  The Commission’s WEA rules also specify testing and proficiency training requirements for Participating CMS Providers.  </w:t>
      </w:r>
      <w:r w:rsidRPr="00943B07">
        <w:rPr>
          <w:i/>
          <w:sz w:val="20"/>
        </w:rPr>
        <w:t>See</w:t>
      </w:r>
      <w:r w:rsidRPr="00943B07">
        <w:rPr>
          <w:sz w:val="20"/>
        </w:rPr>
        <w:t xml:space="preserve"> 47 CFR § 10.350.  </w:t>
      </w:r>
    </w:p>
  </w:footnote>
  <w:footnote w:id="22">
    <w:p w:rsidR="003E6A33" w:rsidRPr="00943B07" w:rsidP="00E9413C">
      <w:pPr>
        <w:pStyle w:val="FootnoteText"/>
      </w:pPr>
      <w:r w:rsidRPr="00943B07">
        <w:rPr>
          <w:rStyle w:val="FootnoteReference"/>
        </w:rPr>
        <w:footnoteRef/>
      </w:r>
      <w:r w:rsidRPr="00943B07">
        <w:t xml:space="preserve"> FEMA developed </w:t>
      </w:r>
      <w:r w:rsidRPr="00943B07">
        <w:rPr>
          <w:lang w:val="en"/>
        </w:rPr>
        <w:t xml:space="preserve">IPAWS to ensure that under all conditions (1) the President of the United States can alert and warn the American people and that (2) Federal, state, local, </w:t>
      </w:r>
      <w:r>
        <w:rPr>
          <w:lang w:val="en"/>
        </w:rPr>
        <w:t>T</w:t>
      </w:r>
      <w:r w:rsidRPr="00943B07">
        <w:rPr>
          <w:lang w:val="en"/>
        </w:rPr>
        <w:t>ribal, and territorial authorities also have the opportunity to use IPAWS to send alerts and warnings within their jurisdictions.  FEMA’s IPAWS allows alerting authorities to deliver alerts simultaneously through multiple communications devices (</w:t>
      </w:r>
      <w:r w:rsidRPr="00943B07">
        <w:rPr>
          <w:i/>
          <w:lang w:val="en"/>
        </w:rPr>
        <w:t>e.g</w:t>
      </w:r>
      <w:r w:rsidRPr="00943B07">
        <w:rPr>
          <w:lang w:val="en"/>
        </w:rPr>
        <w:t>., mobile phones, television, and radio), reaching as many people as possible to save lives and protect property. </w:t>
      </w:r>
    </w:p>
  </w:footnote>
  <w:footnote w:id="23">
    <w:p w:rsidR="003E6A33" w:rsidRPr="00943B07" w:rsidP="00E9413C">
      <w:pPr>
        <w:pStyle w:val="FootnoteText"/>
      </w:pPr>
      <w:r w:rsidRPr="00943B07">
        <w:rPr>
          <w:rStyle w:val="FootnoteReference"/>
        </w:rPr>
        <w:footnoteRef/>
      </w:r>
      <w:r w:rsidRPr="00943B07">
        <w:t xml:space="preserve"> </w:t>
      </w:r>
      <w:r w:rsidRPr="00943B07">
        <w:rPr>
          <w:i/>
        </w:rPr>
        <w:t xml:space="preserve">See </w:t>
      </w:r>
      <w:r w:rsidRPr="00943B07">
        <w:t xml:space="preserve">47 CFR § 11.1, </w:t>
      </w:r>
      <w:r w:rsidRPr="00943B07">
        <w:rPr>
          <w:i/>
        </w:rPr>
        <w:t>et seq.</w:t>
      </w:r>
      <w:r w:rsidRPr="00943B07">
        <w:t xml:space="preserve">; </w:t>
      </w:r>
      <w:r w:rsidRPr="00943B07">
        <w:rPr>
          <w:i/>
        </w:rPr>
        <w:t>Review of the Emergency Alert System</w:t>
      </w:r>
      <w:r w:rsidRPr="00943B07">
        <w:t>, EB Docket No. 04-296, Sixth Report and Order, 30 FCC Rcd 6520 (2015)</w:t>
      </w:r>
      <w:r>
        <w:t>.</w:t>
      </w:r>
      <w:r w:rsidRPr="00943B07">
        <w:t xml:space="preserve"> </w:t>
      </w:r>
    </w:p>
  </w:footnote>
  <w:footnote w:id="24">
    <w:p w:rsidR="003E6A33" w:rsidRPr="00943B07">
      <w:pPr>
        <w:pStyle w:val="FootnoteText"/>
      </w:pPr>
      <w:r w:rsidRPr="00943B07">
        <w:rPr>
          <w:rStyle w:val="FootnoteReference"/>
        </w:rPr>
        <w:footnoteRef/>
      </w:r>
      <w:r w:rsidRPr="00943B07">
        <w:t xml:space="preserve"> </w:t>
      </w:r>
      <w:r w:rsidRPr="00943B07">
        <w:rPr>
          <w:i/>
        </w:rPr>
        <w:t xml:space="preserve">See </w:t>
      </w:r>
      <w:r w:rsidRPr="00943B07">
        <w:t>47 CFR § 11.11(a).</w:t>
      </w:r>
    </w:p>
  </w:footnote>
  <w:footnote w:id="25">
    <w:p w:rsidR="003E6A33" w:rsidRPr="00943B07" w:rsidP="00E9413C">
      <w:pPr>
        <w:pStyle w:val="FootnoteText"/>
      </w:pPr>
      <w:r w:rsidRPr="00943B07">
        <w:rPr>
          <w:rStyle w:val="FootnoteReference"/>
        </w:rPr>
        <w:footnoteRef/>
      </w:r>
      <w:r w:rsidRPr="00943B07">
        <w:t xml:space="preserve"> 47 CFR § 11.1.  </w:t>
      </w:r>
      <w:r w:rsidRPr="00943B07">
        <w:rPr>
          <w:i/>
        </w:rPr>
        <w:t>See</w:t>
      </w:r>
      <w:r w:rsidRPr="00943B07">
        <w:t xml:space="preserve"> </w:t>
      </w:r>
      <w:r w:rsidRPr="00943B07">
        <w:rPr>
          <w:i/>
        </w:rPr>
        <w:t>Review of the Emergency Alert System</w:t>
      </w:r>
      <w:r w:rsidRPr="00943B07">
        <w:t>, EB Docket No. 04-296, First Report and Order and Further Notice of Proposed Rulemaking, 20 FCC Rcd 18625, 18628, para. 8 (2005) (</w:t>
      </w:r>
      <w:r w:rsidRPr="00943B07">
        <w:rPr>
          <w:i/>
        </w:rPr>
        <w:t>First Report and Order</w:t>
      </w:r>
      <w:r w:rsidRPr="00943B07">
        <w:t xml:space="preserve">).  The FCC, FEMA, and the National Weather Service implement the EAS at the federal level.  </w:t>
      </w:r>
      <w:r w:rsidRPr="00943B07">
        <w:rPr>
          <w:i/>
        </w:rPr>
        <w:t>See</w:t>
      </w:r>
      <w:r w:rsidRPr="00943B07">
        <w:t xml:space="preserve"> Presidential Communications with the General Public During Periods of National Emergency, The White House (September 15, 1995).  </w:t>
      </w:r>
    </w:p>
  </w:footnote>
  <w:footnote w:id="26">
    <w:p w:rsidR="003E6A33" w:rsidRPr="00943B07" w:rsidP="00E9413C">
      <w:pPr>
        <w:pStyle w:val="FootnoteText"/>
      </w:pPr>
      <w:r w:rsidRPr="00943B07">
        <w:rPr>
          <w:rStyle w:val="FootnoteReference"/>
        </w:rPr>
        <w:footnoteRef/>
      </w:r>
      <w:r w:rsidRPr="00943B07">
        <w:t xml:space="preserve"> While EAS Participants are required to broadcast Presidential Alerts, they participate in broadcasting state and local EAS alerts on a voluntary basis; “[t]he EAS may be activated at the State and Local Area levels by EAS Participants at their discretion for day-to-day emergency situations posing a threat to life and property.”  </w:t>
      </w:r>
      <w:r w:rsidRPr="00943B07">
        <w:rPr>
          <w:i/>
        </w:rPr>
        <w:t>See</w:t>
      </w:r>
      <w:r w:rsidRPr="00943B07">
        <w:t xml:space="preserve"> 47 CFR § 11.55(a); </w:t>
      </w:r>
      <w:r w:rsidRPr="00943B07">
        <w:rPr>
          <w:i/>
        </w:rPr>
        <w:t>First Report and Order</w:t>
      </w:r>
      <w:r w:rsidRPr="00943B07">
        <w:t>, 20 FCC Rcd at 18628, para. 8.  There are t</w:t>
      </w:r>
      <w:r w:rsidRPr="0079576F">
        <w:t>wo distribution methods for EAS alerts.  The traditional method uses a hierarchical, broa</w:t>
      </w:r>
      <w:r w:rsidRPr="00943B07">
        <w:t>dcast-based distribution system, whereby an alert originator formats an alert using the EAS Protocol and relays it from one designated station to another until it is fully distributed, like a “daisy chain</w:t>
      </w:r>
      <w:r>
        <w:t>.</w:t>
      </w:r>
      <w:r w:rsidRPr="00943B07">
        <w:t xml:space="preserve">” </w:t>
      </w:r>
      <w:r>
        <w:t xml:space="preserve"> </w:t>
      </w:r>
      <w:r w:rsidRPr="00943B07">
        <w:rPr>
          <w:i/>
        </w:rPr>
        <w:t>See</w:t>
      </w:r>
      <w:r w:rsidRPr="00943B07">
        <w:t xml:space="preserve"> 47 CFR § 11.31.  Under the second method, EAS Participants monitor IPAWS for EAS messages that are written in the Common Alerting Protocol (CAP).  </w:t>
      </w:r>
      <w:r w:rsidRPr="00943B07">
        <w:rPr>
          <w:i/>
        </w:rPr>
        <w:t>See</w:t>
      </w:r>
      <w:r w:rsidRPr="00943B07">
        <w:t xml:space="preserve"> FEMA, Integrated Public Alert &amp; Warning System, https://www.fema.gov/integrated-public-alert-warning-system (last visited Mar. 28, 2018).  While IPAWS relies upon the centralized distribution of alerts using an alert aggregator and an Internet-based interface, the EAS’s “daisy chain” leverages the broadcast-based EAS distribution architectures in each of the states. </w:t>
      </w:r>
      <w:r w:rsidRPr="00943B07">
        <w:rPr>
          <w:i/>
        </w:rPr>
        <w:t>See</w:t>
      </w:r>
      <w:r w:rsidRPr="00943B07">
        <w:t xml:space="preserve"> 47 CFR §§ 11.18, 11.20, 11.52, 11.54-55.  The term “state” includes the District of Columbia and the United States’ territories and other possessions.  47 U.S.C. § 153. </w:t>
      </w:r>
    </w:p>
  </w:footnote>
  <w:footnote w:id="27">
    <w:p w:rsidR="003E6A33" w:rsidRPr="00943B07" w:rsidP="003717BA">
      <w:pPr>
        <w:pStyle w:val="FootnoteText"/>
      </w:pPr>
      <w:r w:rsidRPr="00943B07">
        <w:rPr>
          <w:rStyle w:val="FootnoteReference"/>
        </w:rPr>
        <w:footnoteRef/>
      </w:r>
      <w:r w:rsidRPr="00943B07">
        <w:t xml:space="preserve"> 47 CFR § 11.21.  </w:t>
      </w:r>
    </w:p>
  </w:footnote>
  <w:footnote w:id="28">
    <w:p w:rsidR="003E6A33" w:rsidRPr="00943B07" w:rsidP="003717BA">
      <w:pPr>
        <w:pStyle w:val="FootnoteText"/>
      </w:pPr>
      <w:r w:rsidRPr="00943B07">
        <w:rPr>
          <w:rStyle w:val="FootnoteReference"/>
        </w:rPr>
        <w:footnoteRef/>
      </w:r>
      <w:r w:rsidRPr="00943B07">
        <w:t xml:space="preserve"> </w:t>
      </w:r>
      <w:r w:rsidRPr="00943B07">
        <w:rPr>
          <w:i/>
        </w:rPr>
        <w:t>Id.</w:t>
      </w:r>
      <w:r w:rsidRPr="00943B07">
        <w:t xml:space="preserve"> </w:t>
      </w:r>
    </w:p>
  </w:footnote>
  <w:footnote w:id="29">
    <w:p w:rsidR="003E6A33" w:rsidRPr="00943B07" w:rsidP="0001417B">
      <w:pPr>
        <w:pStyle w:val="FootnoteText"/>
      </w:pPr>
      <w:r w:rsidRPr="00943B07">
        <w:rPr>
          <w:rStyle w:val="FootnoteReference"/>
        </w:rPr>
        <w:footnoteRef/>
      </w:r>
      <w:r w:rsidRPr="00943B07">
        <w:t xml:space="preserve"> </w:t>
      </w:r>
      <w:r w:rsidRPr="00943B07">
        <w:t xml:space="preserve">On October 13, 2006, the President signed the Security and Accountability for Every Port (SAFE Port) Act into law.  Title VI of the SAFE Port Act, also known as the WARN Act, establishes a process for the creation of a national mobile alerting system, now known as WEA, whereby Participating CMS Providers transmit emergency alerts to their subscribers.  </w:t>
      </w:r>
      <w:r w:rsidRPr="00943B07">
        <w:rPr>
          <w:i/>
        </w:rPr>
        <w:t xml:space="preserve">See </w:t>
      </w:r>
      <w:r w:rsidRPr="00943B07">
        <w:t xml:space="preserve">Warning, Alert and Response Network (WARN) Act, Title VI of the Security and Accountability For Every Port Act of 2006, 120 Stat. 1884, </w:t>
      </w:r>
      <w:r w:rsidRPr="00943B07">
        <w:rPr>
          <w:i/>
        </w:rPr>
        <w:t xml:space="preserve">codified at </w:t>
      </w:r>
      <w:r w:rsidRPr="00943B07">
        <w:t xml:space="preserve">47 U.S.C. </w:t>
      </w:r>
      <w:r w:rsidRPr="00035D3D">
        <w:rPr>
          <w:rStyle w:val="Heading6Char"/>
          <w:rFonts w:eastAsia="Calibri"/>
          <w:b w:val="0"/>
        </w:rPr>
        <w:t>§</w:t>
      </w:r>
      <w:r w:rsidRPr="00943B07">
        <w:t xml:space="preserve"> 1200, </w:t>
      </w:r>
      <w:r w:rsidRPr="00943B07">
        <w:rPr>
          <w:i/>
        </w:rPr>
        <w:t>et seq</w:t>
      </w:r>
      <w:r w:rsidRPr="00943B07">
        <w:t xml:space="preserve">. (2006).  </w:t>
      </w:r>
    </w:p>
  </w:footnote>
  <w:footnote w:id="30">
    <w:p w:rsidR="003E6A33" w:rsidRPr="00943B07" w:rsidP="00E9413C">
      <w:pPr>
        <w:pStyle w:val="FootnoteText"/>
        <w:rPr>
          <w:i/>
        </w:rPr>
      </w:pPr>
      <w:r w:rsidRPr="00943B07">
        <w:rPr>
          <w:rStyle w:val="FootnoteReference"/>
        </w:rPr>
        <w:footnoteRef/>
      </w:r>
      <w:r w:rsidRPr="00943B07">
        <w:t xml:space="preserve"> </w:t>
      </w:r>
      <w:r w:rsidRPr="00943B07">
        <w:rPr>
          <w:i/>
        </w:rPr>
        <w:t xml:space="preserve">See </w:t>
      </w:r>
      <w:r w:rsidRPr="00943B07">
        <w:t xml:space="preserve">47 CFR </w:t>
      </w:r>
      <w:r w:rsidRPr="00943B07">
        <w:rPr>
          <w:bCs/>
        </w:rPr>
        <w:t>§ 10.210(a)(1) (</w:t>
      </w:r>
      <w:r w:rsidRPr="00943B07">
        <w:t>A CMS provider that elects to transmit WEA Alert Messages, in part or in whole, “[a]grees to transmit such alerts in a manner consistent with the technical standards, protocols, procedures, and other technical requirements implemented by the Commission”</w:t>
      </w:r>
      <w:r w:rsidRPr="00943B07">
        <w:rPr>
          <w:bCs/>
        </w:rPr>
        <w:t xml:space="preserve">).  For a </w:t>
      </w:r>
      <w:r w:rsidRPr="00943B07">
        <w:t>record of wireless providers’ elections to participate in WEA</w:t>
      </w:r>
      <w:r>
        <w:t>,</w:t>
      </w:r>
      <w:r w:rsidRPr="00943B07">
        <w:rPr>
          <w:i/>
        </w:rPr>
        <w:t xml:space="preserve"> see </w:t>
      </w:r>
      <w:r w:rsidRPr="00943B07">
        <w:t>F</w:t>
      </w:r>
      <w:r w:rsidRPr="0079576F">
        <w:t xml:space="preserve">ederal Communications Commission, </w:t>
      </w:r>
      <w:r w:rsidRPr="0079576F">
        <w:rPr>
          <w:i/>
        </w:rPr>
        <w:t>Master CMAS Registry</w:t>
      </w:r>
      <w:r w:rsidRPr="0079576F">
        <w:t xml:space="preserve">, </w:t>
      </w:r>
      <w:r w:rsidRPr="00943B07">
        <w:t xml:space="preserve">https://www.fcc.gov/pshs/docs/services/cmas/MasterCMASRegistry.xls (last visited </w:t>
      </w:r>
      <w:r>
        <w:t>Mar. 28</w:t>
      </w:r>
      <w:r w:rsidRPr="00943B07">
        <w:t xml:space="preserve">, 2018); PS Docket No. 08-146.  Wireless providers serving a majority of the United States populace participate in WEA. </w:t>
      </w:r>
    </w:p>
  </w:footnote>
  <w:footnote w:id="31">
    <w:p w:rsidR="003E6A33" w:rsidRPr="00943B07" w:rsidP="00E9413C">
      <w:pPr>
        <w:pStyle w:val="FootnoteText"/>
      </w:pPr>
      <w:r w:rsidRPr="00943B07">
        <w:rPr>
          <w:rStyle w:val="FootnoteReference"/>
        </w:rPr>
        <w:footnoteRef/>
      </w:r>
      <w:r w:rsidRPr="00943B07">
        <w:t xml:space="preserve"> </w:t>
      </w:r>
      <w:r w:rsidRPr="00943B07">
        <w:rPr>
          <w:i/>
        </w:rPr>
        <w:t xml:space="preserve">See </w:t>
      </w:r>
      <w:r w:rsidRPr="00943B07">
        <w:t xml:space="preserve">47 CFR </w:t>
      </w:r>
      <w:r w:rsidRPr="00943B07">
        <w:rPr>
          <w:bCs/>
        </w:rPr>
        <w:t xml:space="preserve">§§ 10.10(f), 10.240 (notification to new subscribers of non-participation in WEA).  </w:t>
      </w:r>
    </w:p>
  </w:footnote>
  <w:footnote w:id="32">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47 CFR </w:t>
      </w:r>
      <w:r w:rsidRPr="00943B07">
        <w:rPr>
          <w:bCs/>
        </w:rPr>
        <w:t xml:space="preserve">§ 10.240(c) (Participating </w:t>
      </w:r>
      <w:r w:rsidRPr="00943B07">
        <w:t>CMS providers electing to transmit alerts “in part” shall disclose this to new subscribers</w:t>
      </w:r>
      <w:r w:rsidRPr="00943B07">
        <w:rPr>
          <w:bCs/>
        </w:rPr>
        <w:t xml:space="preserve">).  </w:t>
      </w:r>
      <w:r w:rsidRPr="00943B07">
        <w:t xml:space="preserve">In an effort to promote consumer awareness about WEA capability, the Commission recently adopted new consumer disclosure requirements to ensure that members of the public are aware of the availability and benefits of enhanced geo-targeting (the ability to target WEA messages to more granular geographic areas specified by the alert originator) at the point of sale.  </w:t>
      </w:r>
      <w:r w:rsidRPr="00943B07">
        <w:rPr>
          <w:i/>
        </w:rPr>
        <w:t>See</w:t>
      </w:r>
      <w:r w:rsidRPr="00943B07">
        <w:t xml:space="preserve"> </w:t>
      </w:r>
      <w:r w:rsidRPr="00943B07">
        <w:rPr>
          <w:i/>
        </w:rPr>
        <w:t>Wireless Emergency Alerts; Amendments to Part 11 of the Commission’s Rules Regarding the Emergency Alert System</w:t>
      </w:r>
      <w:r w:rsidRPr="00943B07">
        <w:rPr>
          <w:bCs/>
        </w:rPr>
        <w:t xml:space="preserve">, Second </w:t>
      </w:r>
      <w:r w:rsidRPr="00943B07">
        <w:t xml:space="preserve">Report and Order and </w:t>
      </w:r>
      <w:r w:rsidRPr="00943B07">
        <w:rPr>
          <w:bCs/>
        </w:rPr>
        <w:t>Order on Reconsideration, FCC 18-4</w:t>
      </w:r>
      <w:r w:rsidRPr="00943B07">
        <w:t>, para. 15</w:t>
      </w:r>
      <w:r w:rsidRPr="00943B07">
        <w:rPr>
          <w:bCs/>
        </w:rPr>
        <w:t xml:space="preserve"> (rel. Jan. 31, 2018) (</w:t>
      </w:r>
      <w:r w:rsidRPr="00943B07">
        <w:rPr>
          <w:bCs/>
          <w:i/>
        </w:rPr>
        <w:t>WEA Second Report and Order</w:t>
      </w:r>
      <w:r w:rsidRPr="00943B07">
        <w:rPr>
          <w:bCs/>
        </w:rPr>
        <w:t>)</w:t>
      </w:r>
      <w:r w:rsidRPr="00943B07">
        <w:t xml:space="preserve">.  </w:t>
      </w:r>
    </w:p>
  </w:footnote>
  <w:footnote w:id="33">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47 CFR </w:t>
      </w:r>
      <w:r w:rsidRPr="00943B07">
        <w:rPr>
          <w:bCs/>
        </w:rPr>
        <w:t>§ 10.280(a).</w:t>
      </w:r>
    </w:p>
  </w:footnote>
  <w:footnote w:id="34">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47 CFR </w:t>
      </w:r>
      <w:r w:rsidRPr="00943B07">
        <w:rPr>
          <w:bCs/>
        </w:rPr>
        <w:t>§ 11.61(a).  IPAWS is the nation’s federal alert and warning system, and is administered by FEMA.  It consists primarily of the EAS and the IPAWS Open Platform for Emergency Networks (IPAWS-OPEN), an IP-based system that allows for efficient integration of CAP-based alerting platforms such as WEA with the IPAWS infrastructure.</w:t>
      </w:r>
    </w:p>
  </w:footnote>
  <w:footnote w:id="35">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47 CFR </w:t>
      </w:r>
      <w:r w:rsidRPr="00943B07">
        <w:rPr>
          <w:bCs/>
        </w:rPr>
        <w:t>§ 10.350.</w:t>
      </w:r>
    </w:p>
  </w:footnote>
  <w:footnote w:id="36">
    <w:p w:rsidR="003E6A33" w:rsidRPr="00943B07" w:rsidP="00E9413C">
      <w:pPr>
        <w:pStyle w:val="FootnoteText"/>
      </w:pPr>
      <w:r w:rsidRPr="00943B07">
        <w:rPr>
          <w:rStyle w:val="FootnoteReference"/>
        </w:rPr>
        <w:footnoteRef/>
      </w:r>
      <w:r w:rsidRPr="00943B07">
        <w:t xml:space="preserve"> </w:t>
      </w:r>
      <w:r w:rsidRPr="00943B07">
        <w:rPr>
          <w:i/>
        </w:rPr>
        <w:t>See Wireless Emergency Alerts; Amendments to Part 11 of the Commission’s Rules Regarding the Emergency Alert System</w:t>
      </w:r>
      <w:r w:rsidRPr="00943B07">
        <w:t>, Report and Order and Further Notice of Proposed Rulemaking, 31 FCC Rcd 11112, 11165, para. 86 (2016) (</w:t>
      </w:r>
      <w:r w:rsidRPr="00943B07">
        <w:rPr>
          <w:i/>
        </w:rPr>
        <w:t>WEA First Report and Order</w:t>
      </w:r>
      <w:r w:rsidRPr="00943B07">
        <w:t>) (adopting state/local WEA test requirements under 47 CFR § 10.350(c)).  Effective May 1, 2019, Participating CMS Providers must support state/local WEA tests, as established by 47 CFR §</w:t>
      </w:r>
      <w:r>
        <w:t> </w:t>
      </w:r>
      <w:r w:rsidRPr="00943B07">
        <w:t xml:space="preserve">10.350(c).  </w:t>
      </w:r>
      <w:r w:rsidRPr="00943B07">
        <w:rPr>
          <w:i/>
        </w:rPr>
        <w:t>See</w:t>
      </w:r>
      <w:r w:rsidRPr="00943B07">
        <w:t xml:space="preserve"> 81 FR 75710 (2016).  Participating CMS Providers may provide their subscribers with the option to opt-in to receive State/Local WEA Tests.  </w:t>
      </w:r>
      <w:r w:rsidRPr="00943B07">
        <w:rPr>
          <w:i/>
        </w:rPr>
        <w:t>See</w:t>
      </w:r>
      <w:r w:rsidRPr="00943B07">
        <w:t xml:space="preserve"> </w:t>
      </w:r>
      <w:r w:rsidRPr="00943B07">
        <w:rPr>
          <w:i/>
        </w:rPr>
        <w:t>WEA First Report and Order</w:t>
      </w:r>
      <w:r w:rsidRPr="00943B07">
        <w:t>, 31 FCC Rcd at 11155, para. 65.</w:t>
      </w:r>
    </w:p>
  </w:footnote>
  <w:footnote w:id="37">
    <w:p w:rsidR="003E6A33" w:rsidRPr="00943B07" w:rsidP="00E9413C">
      <w:pPr>
        <w:pStyle w:val="FootnoteText"/>
      </w:pPr>
      <w:r w:rsidRPr="00943B07">
        <w:rPr>
          <w:rStyle w:val="FootnoteReference"/>
        </w:rPr>
        <w:footnoteRef/>
      </w:r>
      <w:r w:rsidRPr="00943B07">
        <w:t xml:space="preserve"> </w:t>
      </w:r>
      <w:r w:rsidRPr="00943B07">
        <w:rPr>
          <w:i/>
        </w:rPr>
        <w:t>WEA First Report and Order</w:t>
      </w:r>
      <w:r w:rsidRPr="00943B07">
        <w:t>, 31 FCC Rcd at 11154-55, para. 65.</w:t>
      </w:r>
    </w:p>
  </w:footnote>
  <w:footnote w:id="38">
    <w:p w:rsidR="003E6A33" w:rsidRPr="00943B07" w:rsidP="00E9413C">
      <w:pPr>
        <w:pStyle w:val="FootnoteText"/>
      </w:pPr>
      <w:r w:rsidRPr="00943B07">
        <w:rPr>
          <w:rStyle w:val="FootnoteReference"/>
        </w:rPr>
        <w:footnoteRef/>
      </w:r>
      <w:r w:rsidRPr="00943B07">
        <w:t xml:space="preserve"> </w:t>
      </w:r>
      <w:r w:rsidRPr="00C43BB8">
        <w:rPr>
          <w:i/>
        </w:rPr>
        <w:t>See</w:t>
      </w:r>
      <w:r>
        <w:t xml:space="preserve"> </w:t>
      </w:r>
      <w:r w:rsidRPr="00943B07">
        <w:t xml:space="preserve">47 CFR § 11.31(e) (lists specific test codes that are to be used for national periodic, required monthly test, required weekly test, as well as for practice/demonstration warnings);47 CFR § 11.45 (prohibits the transmission of false or deceptive EAS messages other than in an actual National, State or Local Area emergency or authorized test of the EAS); 47 CFR § 10.350(a)(4) (end-to-end testing, </w:t>
      </w:r>
      <w:r w:rsidRPr="00943B07">
        <w:rPr>
          <w:i/>
        </w:rPr>
        <w:t>i.e.</w:t>
      </w:r>
      <w:r>
        <w:t>,</w:t>
      </w:r>
      <w:r w:rsidRPr="00943B07">
        <w:t xml:space="preserve"> testing of the WEA from the Federal Alert Gateway to each Participating CMS Provider's infrastructure, shall be (1) conducted monthly, (2) shall include a defined test message, and (3) real event codes or alert messages shall not be used for the required monthly test message.); </w:t>
      </w:r>
      <w:r w:rsidRPr="00943B07">
        <w:rPr>
          <w:i/>
        </w:rPr>
        <w:t>WEA First Report and Order</w:t>
      </w:r>
      <w:r w:rsidRPr="00943B07">
        <w:t>, 31 FCC Rcd at 11155, para. 65.</w:t>
      </w:r>
      <w:r w:rsidRPr="00943B07">
        <w:rPr>
          <w:highlight w:val="yellow"/>
        </w:rPr>
        <w:t xml:space="preserve"> </w:t>
      </w:r>
    </w:p>
  </w:footnote>
  <w:footnote w:id="39">
    <w:p w:rsidR="003E6A33" w:rsidRPr="00943B07" w:rsidP="003E6A33">
      <w:pPr>
        <w:spacing w:after="120"/>
        <w:rPr>
          <w:rFonts w:eastAsiaTheme="minorHAnsi"/>
          <w:snapToGrid/>
          <w:kern w:val="0"/>
          <w:sz w:val="20"/>
        </w:rPr>
      </w:pPr>
      <w:r w:rsidRPr="00943B07">
        <w:rPr>
          <w:rStyle w:val="FootnoteReference"/>
        </w:rPr>
        <w:footnoteRef/>
      </w:r>
      <w:r w:rsidRPr="00943B07">
        <w:rPr>
          <w:sz w:val="20"/>
        </w:rPr>
        <w:t xml:space="preserve"> </w:t>
      </w:r>
      <w:r w:rsidRPr="00943B07">
        <w:rPr>
          <w:rFonts w:eastAsiaTheme="minorHAnsi"/>
          <w:i/>
          <w:snapToGrid/>
          <w:kern w:val="0"/>
          <w:sz w:val="20"/>
        </w:rPr>
        <w:t xml:space="preserve">See </w:t>
      </w:r>
      <w:r w:rsidRPr="0079576F">
        <w:rPr>
          <w:i/>
          <w:iCs/>
          <w:sz w:val="20"/>
        </w:rPr>
        <w:t>Improving Wireless Emergency Alerts and Community-Initiated Alerting</w:t>
      </w:r>
      <w:r w:rsidRPr="0079576F">
        <w:rPr>
          <w:sz w:val="20"/>
        </w:rPr>
        <w:t>, Notice of Proposed Rulemaking, 30 FCC Rcd 1378</w:t>
      </w:r>
      <w:r w:rsidRPr="00943B07">
        <w:rPr>
          <w:sz w:val="20"/>
        </w:rPr>
        <w:t>1, 13808, para. 54 (“We envision that p</w:t>
      </w:r>
      <w:r w:rsidRPr="00943B07">
        <w:rPr>
          <w:rFonts w:eastAsiaTheme="minorHAnsi"/>
          <w:snapToGrid/>
          <w:kern w:val="0"/>
          <w:sz w:val="20"/>
        </w:rPr>
        <w:t>roficiency training exercises would help develop the preparedness of state and local emergency response, ensuring that emergency managers are able to respond swiftly and efficiently to emergencies through the use of WEA.”)</w:t>
      </w:r>
      <w:r w:rsidRPr="00943B07">
        <w:rPr>
          <w:sz w:val="20"/>
        </w:rPr>
        <w:t xml:space="preserve">.  </w:t>
      </w:r>
    </w:p>
  </w:footnote>
  <w:footnote w:id="40">
    <w:p w:rsidR="003E6A33" w:rsidRPr="00943B07" w:rsidP="003E6A33">
      <w:pPr>
        <w:pStyle w:val="FootnoteText"/>
      </w:pPr>
      <w:r w:rsidRPr="00943B07">
        <w:rPr>
          <w:rStyle w:val="FootnoteReference"/>
        </w:rPr>
        <w:footnoteRef/>
      </w:r>
      <w:r w:rsidRPr="00943B07">
        <w:t xml:space="preserve"> </w:t>
      </w:r>
      <w:r w:rsidRPr="00943B07">
        <w:rPr>
          <w:i/>
        </w:rPr>
        <w:t xml:space="preserve">WEA First Report and Order, </w:t>
      </w:r>
      <w:r w:rsidRPr="00943B07">
        <w:t xml:space="preserve">31 FCC Rcd at 11156, para. 67.  </w:t>
      </w:r>
    </w:p>
  </w:footnote>
  <w:footnote w:id="41">
    <w:p w:rsidR="003E6A33" w:rsidRPr="00943B07" w:rsidP="00E9413C">
      <w:pPr>
        <w:pStyle w:val="FootnoteText"/>
      </w:pPr>
      <w:r w:rsidRPr="00943B07">
        <w:rPr>
          <w:rStyle w:val="FootnoteReference"/>
        </w:rPr>
        <w:footnoteRef/>
      </w:r>
      <w:r w:rsidRPr="00943B07">
        <w:t xml:space="preserve"> </w:t>
      </w:r>
      <w:r w:rsidRPr="00943B07">
        <w:rPr>
          <w:i/>
        </w:rPr>
        <w:t>Id</w:t>
      </w:r>
      <w:r w:rsidRPr="0079576F">
        <w:t xml:space="preserve">.  </w:t>
      </w:r>
      <w:r w:rsidRPr="00943B07">
        <w:t xml:space="preserve">Such best practices would cover both the crafting of the alert and the procedures for testing, transmitting, and correcting any alerts.  </w:t>
      </w:r>
      <w:r w:rsidRPr="00943B07">
        <w:rPr>
          <w:lang w:val="en"/>
        </w:rPr>
        <w:t xml:space="preserve">We note that the IPAWS Program Management Office (PMO) provides public safety officials with a controlled IPAWS testing environment where alert and warning technologies can be exercised to assess capabilities and effectiveness with IPAWS.  The primary purpose of the IPAWS Lab, according to FEMA, “is for public safety officials to gain confidence using IPAWS in a safe and closed environment.”  </w:t>
      </w:r>
      <w:r w:rsidRPr="00943B07">
        <w:rPr>
          <w:i/>
        </w:rPr>
        <w:t>See</w:t>
      </w:r>
      <w:r w:rsidRPr="00943B07">
        <w:t xml:space="preserve"> Testing with the IPAWS Lab, https://www.fema.gov/testing-ipaws-lab-jitc (last visited Mar. 28, 2018).</w:t>
      </w:r>
    </w:p>
  </w:footnote>
  <w:footnote w:id="42">
    <w:p w:rsidR="003E6A33" w:rsidRPr="00943B07" w:rsidP="00724D9F">
      <w:pPr>
        <w:pStyle w:val="FootnoteText"/>
      </w:pPr>
      <w:r w:rsidRPr="00943B07">
        <w:rPr>
          <w:rStyle w:val="FootnoteReference"/>
        </w:rPr>
        <w:footnoteRef/>
      </w:r>
      <w:r w:rsidRPr="00943B07">
        <w:t xml:space="preserve"> </w:t>
      </w:r>
      <w:r w:rsidRPr="00943B07">
        <w:rPr>
          <w:i/>
        </w:rPr>
        <w:t>See, e.g.</w:t>
      </w:r>
      <w:r w:rsidRPr="00943B07">
        <w:t xml:space="preserve">, </w:t>
      </w:r>
      <w:r w:rsidRPr="00943B07">
        <w:rPr>
          <w:i/>
        </w:rPr>
        <w:t>Public Safety and Homeland Security Bureau Provides Guidance Regarding “Live Code” Testing of the Emergency Alert System</w:t>
      </w:r>
      <w:r w:rsidRPr="00943B07">
        <w:t xml:space="preserve">, Public Notice, 24 FCC Rcd 3701 (2009) (providing waiver guidance to EAS Participants).  The Commission continues to consider amending the rules to allow EAS Participants to conduct periodic EAS exercises using live event header codes without need for a waiver.  </w:t>
      </w:r>
      <w:r w:rsidRPr="00943B07">
        <w:rPr>
          <w:i/>
        </w:rPr>
        <w:t>Amendment of Part 11 of the Commission’s Rules Regarding the Emergency Alert System, Wireless Emergency Alerts</w:t>
      </w:r>
      <w:r w:rsidRPr="00943B07">
        <w:t>, Notice of Proposed Rulemaking, 31 FCC Rcd 594,</w:t>
      </w:r>
      <w:r w:rsidRPr="00943B07">
        <w:rPr>
          <w:snapToGrid w:val="0"/>
          <w:kern w:val="28"/>
        </w:rPr>
        <w:t xml:space="preserve"> 623-26, paras</w:t>
      </w:r>
      <w:r w:rsidRPr="00943B07">
        <w:t xml:space="preserve">. 59-64 (2016).  </w:t>
      </w:r>
    </w:p>
  </w:footnote>
  <w:footnote w:id="43">
    <w:p w:rsidR="003E6A33" w:rsidRPr="00943B07" w:rsidP="00E9413C">
      <w:pPr>
        <w:pStyle w:val="FootnoteText"/>
      </w:pPr>
      <w:r w:rsidRPr="00943B07">
        <w:rPr>
          <w:rStyle w:val="FootnoteReference"/>
        </w:rPr>
        <w:footnoteRef/>
      </w:r>
      <w:r w:rsidRPr="00943B07">
        <w:t xml:space="preserve"> Haw. Rev. Stat. § 127A-3(e) (2017).  HI-EMA is a division of the Hawaii Department of Defense (HI-DOD).</w:t>
      </w:r>
    </w:p>
  </w:footnote>
  <w:footnote w:id="44">
    <w:p w:rsidR="003E6A33" w:rsidRPr="006253EB" w:rsidP="00E9413C">
      <w:pPr>
        <w:widowControl/>
        <w:autoSpaceDE w:val="0"/>
        <w:autoSpaceDN w:val="0"/>
        <w:adjustRightInd w:val="0"/>
        <w:spacing w:after="120"/>
        <w:rPr>
          <w:sz w:val="20"/>
        </w:rPr>
      </w:pPr>
      <w:r w:rsidRPr="00943B07">
        <w:rPr>
          <w:rStyle w:val="FootnoteReference"/>
        </w:rPr>
        <w:footnoteRef/>
      </w:r>
      <w:r w:rsidRPr="00943B07">
        <w:rPr>
          <w:sz w:val="20"/>
        </w:rPr>
        <w:t xml:space="preserve"> </w:t>
      </w:r>
      <w:r w:rsidRPr="00943B07">
        <w:rPr>
          <w:i/>
          <w:sz w:val="20"/>
        </w:rPr>
        <w:t>See</w:t>
      </w:r>
      <w:r w:rsidRPr="00943B07">
        <w:rPr>
          <w:sz w:val="20"/>
        </w:rPr>
        <w:t xml:space="preserve"> Federal Emergency Management Agency, </w:t>
      </w:r>
      <w:r w:rsidRPr="00943B07">
        <w:rPr>
          <w:i/>
          <w:snapToGrid/>
          <w:kern w:val="0"/>
          <w:sz w:val="20"/>
        </w:rPr>
        <w:t>Organizations with Alerting Authority Completed</w:t>
      </w:r>
      <w:r w:rsidRPr="00943B07">
        <w:rPr>
          <w:snapToGrid/>
          <w:kern w:val="0"/>
          <w:sz w:val="20"/>
        </w:rPr>
        <w:t xml:space="preserve">, </w:t>
      </w:r>
      <w:r w:rsidRPr="00943B07">
        <w:rPr>
          <w:sz w:val="20"/>
        </w:rPr>
        <w:t>https://www.fema.gov/media-library/assets/documents/117152</w:t>
      </w:r>
      <w:r w:rsidRPr="00943B07">
        <w:rPr>
          <w:sz w:val="20"/>
        </w:rPr>
        <w:t xml:space="preserve"> </w:t>
      </w:r>
      <w:r w:rsidRPr="00943B07">
        <w:rPr>
          <w:sz w:val="20"/>
        </w:rPr>
        <w:t>(last visited Mar. 28, 2018).  FEMA notes that “</w:t>
      </w:r>
      <w:r w:rsidRPr="00943B07">
        <w:rPr>
          <w:sz w:val="20"/>
          <w:lang w:val="en"/>
        </w:rPr>
        <w:t xml:space="preserve">[t[here are more tha[n] 1,000 federal, state, local, </w:t>
      </w:r>
      <w:r>
        <w:rPr>
          <w:sz w:val="20"/>
          <w:lang w:val="en"/>
        </w:rPr>
        <w:t>T</w:t>
      </w:r>
      <w:r w:rsidRPr="00943B07">
        <w:rPr>
          <w:sz w:val="20"/>
          <w:lang w:val="en"/>
        </w:rPr>
        <w:t xml:space="preserve">ribal, and territorial authorities that can use IPAWS to issue critical public alerts and warnings, and many more authorities that are in the process of obtaining the ability to issue alerts and warnings using IPAWS.”  </w:t>
      </w:r>
      <w:r w:rsidRPr="00943B07">
        <w:rPr>
          <w:i/>
          <w:sz w:val="20"/>
          <w:lang w:val="en"/>
        </w:rPr>
        <w:t>See</w:t>
      </w:r>
      <w:r w:rsidRPr="00943B07">
        <w:rPr>
          <w:sz w:val="20"/>
          <w:lang w:val="en"/>
        </w:rPr>
        <w:t xml:space="preserve"> Federal Emergency Management Agency, Alerting Authorities, </w:t>
      </w:r>
      <w:r w:rsidRPr="00943B07">
        <w:rPr>
          <w:sz w:val="20"/>
        </w:rPr>
        <w:t>https://www.fema.gov/alerting-authorities</w:t>
      </w:r>
      <w:r w:rsidRPr="00943B07">
        <w:rPr>
          <w:sz w:val="20"/>
          <w:lang w:val="en"/>
        </w:rPr>
        <w:t xml:space="preserve"> (last visited Mar. 28, 2018).  FEMA’s records indicate that as of March 15, 2018, the U.S. Army Garrison in Hawaii remains in the process for obtaining alerting authority.  </w:t>
      </w:r>
      <w:r w:rsidRPr="00943B07">
        <w:rPr>
          <w:i/>
          <w:sz w:val="20"/>
          <w:lang w:val="en"/>
        </w:rPr>
        <w:t>See</w:t>
      </w:r>
      <w:r w:rsidRPr="00943B07">
        <w:rPr>
          <w:sz w:val="20"/>
          <w:lang w:val="en"/>
        </w:rPr>
        <w:t xml:space="preserve"> </w:t>
      </w:r>
      <w:r w:rsidRPr="00943B07">
        <w:rPr>
          <w:sz w:val="20"/>
        </w:rPr>
        <w:t xml:space="preserve">Federal Emergency Management Agency, </w:t>
      </w:r>
      <w:r w:rsidRPr="00943B07">
        <w:rPr>
          <w:i/>
          <w:snapToGrid/>
          <w:kern w:val="0"/>
          <w:sz w:val="20"/>
        </w:rPr>
        <w:t>Organizations with Alerting Authority In Process</w:t>
      </w:r>
      <w:r w:rsidRPr="00943B07">
        <w:rPr>
          <w:snapToGrid/>
          <w:kern w:val="0"/>
          <w:sz w:val="20"/>
        </w:rPr>
        <w:t xml:space="preserve">, </w:t>
      </w:r>
      <w:r w:rsidRPr="00943B07">
        <w:rPr>
          <w:sz w:val="20"/>
        </w:rPr>
        <w:t>https://www.fema.gov/media-library/assets/documents/117152</w:t>
      </w:r>
      <w:r w:rsidRPr="00943B07">
        <w:rPr>
          <w:sz w:val="20"/>
        </w:rPr>
        <w:t xml:space="preserve"> </w:t>
      </w:r>
      <w:r w:rsidRPr="00943B07">
        <w:rPr>
          <w:sz w:val="20"/>
          <w:lang w:val="en"/>
        </w:rPr>
        <w:t xml:space="preserve">(last visited </w:t>
      </w:r>
      <w:r>
        <w:rPr>
          <w:sz w:val="20"/>
          <w:lang w:val="en"/>
        </w:rPr>
        <w:t>Mar</w:t>
      </w:r>
      <w:r w:rsidRPr="00943B07">
        <w:rPr>
          <w:sz w:val="20"/>
          <w:lang w:val="en"/>
        </w:rPr>
        <w:t>. 26, 2018).</w:t>
      </w:r>
      <w:r>
        <w:rPr>
          <w:sz w:val="20"/>
          <w:lang w:val="en"/>
        </w:rPr>
        <w:t xml:space="preserve">  </w:t>
      </w:r>
      <w:r w:rsidRPr="006253EB">
        <w:rPr>
          <w:sz w:val="20"/>
          <w:lang w:val="en"/>
        </w:rPr>
        <w:t>On February 6, 2018, U.S. Senator Brian Sc</w:t>
      </w:r>
      <w:r>
        <w:rPr>
          <w:sz w:val="20"/>
          <w:lang w:val="en"/>
        </w:rPr>
        <w:t>h</w:t>
      </w:r>
      <w:r w:rsidRPr="006253EB">
        <w:rPr>
          <w:sz w:val="20"/>
          <w:lang w:val="en"/>
        </w:rPr>
        <w:t xml:space="preserve">atz (HI) introduced legislation </w:t>
      </w:r>
      <w:r>
        <w:rPr>
          <w:sz w:val="20"/>
          <w:lang w:val="en"/>
        </w:rPr>
        <w:t xml:space="preserve">that would limit </w:t>
      </w:r>
      <w:r w:rsidRPr="006253EB">
        <w:rPr>
          <w:color w:val="333333"/>
          <w:sz w:val="20"/>
          <w:lang w:val="en"/>
        </w:rPr>
        <w:t xml:space="preserve">authority to originate an alert </w:t>
      </w:r>
      <w:r>
        <w:rPr>
          <w:color w:val="333333"/>
          <w:sz w:val="20"/>
          <w:lang w:val="en"/>
        </w:rPr>
        <w:t>regarding</w:t>
      </w:r>
      <w:r w:rsidRPr="006253EB">
        <w:rPr>
          <w:color w:val="333333"/>
          <w:sz w:val="20"/>
          <w:lang w:val="en"/>
        </w:rPr>
        <w:t xml:space="preserve"> a missile launch directed against a State using the public alert and warning system solely </w:t>
      </w:r>
      <w:r>
        <w:rPr>
          <w:color w:val="333333"/>
          <w:sz w:val="20"/>
          <w:lang w:val="en"/>
        </w:rPr>
        <w:t>to</w:t>
      </w:r>
      <w:r w:rsidRPr="006253EB">
        <w:rPr>
          <w:color w:val="333333"/>
          <w:sz w:val="20"/>
          <w:lang w:val="en"/>
        </w:rPr>
        <w:t xml:space="preserve"> the Federal Government</w:t>
      </w:r>
      <w:r w:rsidRPr="006253EB">
        <w:rPr>
          <w:sz w:val="20"/>
          <w:lang w:val="en"/>
        </w:rPr>
        <w:t xml:space="preserve">.  </w:t>
      </w:r>
      <w:r w:rsidRPr="006253EB">
        <w:rPr>
          <w:i/>
          <w:sz w:val="20"/>
          <w:lang w:val="en"/>
        </w:rPr>
        <w:t>See</w:t>
      </w:r>
      <w:r w:rsidRPr="006253EB">
        <w:rPr>
          <w:sz w:val="20"/>
          <w:lang w:val="en"/>
        </w:rPr>
        <w:t xml:space="preserve"> Authenticating Local Emergencies and Real Threats of 2018</w:t>
      </w:r>
      <w:r>
        <w:rPr>
          <w:sz w:val="20"/>
          <w:lang w:val="en"/>
        </w:rPr>
        <w:t>, S.2385, 115</w:t>
      </w:r>
      <w:r w:rsidRPr="006253EB">
        <w:rPr>
          <w:sz w:val="20"/>
          <w:vertAlign w:val="superscript"/>
          <w:lang w:val="en"/>
        </w:rPr>
        <w:t>th</w:t>
      </w:r>
      <w:r>
        <w:rPr>
          <w:sz w:val="20"/>
          <w:lang w:val="en"/>
        </w:rPr>
        <w:t xml:space="preserve"> Congress (2018)</w:t>
      </w:r>
      <w:r w:rsidRPr="006253EB">
        <w:rPr>
          <w:sz w:val="20"/>
          <w:lang w:val="en"/>
        </w:rPr>
        <w:t xml:space="preserve">.  </w:t>
      </w:r>
    </w:p>
  </w:footnote>
  <w:footnote w:id="45">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Haw. Rev. Stat. § 127A-7(a) (2017).</w:t>
      </w:r>
    </w:p>
  </w:footnote>
  <w:footnote w:id="46">
    <w:p w:rsidR="003E6A33" w:rsidRPr="00943B07" w:rsidP="00E9413C">
      <w:pPr>
        <w:pStyle w:val="FootnoteText"/>
      </w:pPr>
      <w:r w:rsidRPr="00943B07">
        <w:rPr>
          <w:rStyle w:val="FootnoteReference"/>
        </w:rPr>
        <w:footnoteRef/>
      </w:r>
      <w:r w:rsidRPr="00943B07">
        <w:t xml:space="preserve"> </w:t>
      </w:r>
      <w:r w:rsidRPr="00943B07">
        <w:rPr>
          <w:rStyle w:val="s1"/>
          <w:i/>
          <w:lang w:val="en"/>
        </w:rPr>
        <w:t>See</w:t>
      </w:r>
      <w:r w:rsidRPr="00943B07">
        <w:rPr>
          <w:rStyle w:val="s1"/>
          <w:lang w:val="en"/>
        </w:rPr>
        <w:t xml:space="preserve"> Hawaii Emergency Management Agency, </w:t>
      </w:r>
      <w:r w:rsidRPr="00943B07">
        <w:rPr>
          <w:rStyle w:val="s1"/>
          <w:i/>
          <w:lang w:val="en"/>
        </w:rPr>
        <w:t>About Us</w:t>
      </w:r>
      <w:r w:rsidRPr="00943B07">
        <w:rPr>
          <w:rStyle w:val="s1"/>
          <w:lang w:val="en"/>
        </w:rPr>
        <w:t xml:space="preserve">, </w:t>
      </w:r>
      <w:r w:rsidRPr="00943B07">
        <w:t>http://dod.hawaii.gov/hiema/contact-us/about-us/</w:t>
      </w:r>
      <w:r w:rsidRPr="00943B07">
        <w:rPr>
          <w:rStyle w:val="s1"/>
          <w:lang w:val="en"/>
        </w:rPr>
        <w:t xml:space="preserve"> (last visited Mar. 28, 2018).</w:t>
      </w:r>
    </w:p>
  </w:footnote>
  <w:footnote w:id="47">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Haw. Rev. Stat. § 127A-7(a) (2017).</w:t>
      </w:r>
    </w:p>
  </w:footnote>
  <w:footnote w:id="48">
    <w:p w:rsidR="003E6A33" w:rsidRPr="00943B07" w:rsidP="00055251">
      <w:pPr>
        <w:widowControl/>
        <w:autoSpaceDE w:val="0"/>
        <w:autoSpaceDN w:val="0"/>
        <w:adjustRightInd w:val="0"/>
        <w:spacing w:after="120"/>
        <w:rPr>
          <w:rFonts w:eastAsiaTheme="minorHAnsi"/>
          <w:snapToGrid/>
          <w:kern w:val="0"/>
          <w:sz w:val="20"/>
        </w:rPr>
      </w:pPr>
      <w:r w:rsidRPr="00943B07">
        <w:rPr>
          <w:rStyle w:val="FootnoteReference"/>
        </w:rPr>
        <w:footnoteRef/>
      </w:r>
      <w:r w:rsidRPr="00943B07">
        <w:rPr>
          <w:sz w:val="20"/>
        </w:rPr>
        <w:t xml:space="preserve"> In response to the </w:t>
      </w:r>
      <w:r w:rsidRPr="00943B07">
        <w:rPr>
          <w:rFonts w:eastAsiaTheme="minorHAnsi"/>
          <w:snapToGrid/>
          <w:kern w:val="0"/>
          <w:sz w:val="20"/>
        </w:rPr>
        <w:t>ballistic missile threat stemming from geopolitical tensions with North Korea, Hawaii implemented alert systems and procedures to increase preparedness and keep its citizens informed of potential threats from ballistic missiles.</w:t>
      </w:r>
      <w:r w:rsidRPr="00943B07">
        <w:rPr>
          <w:sz w:val="20"/>
        </w:rPr>
        <w:t xml:space="preserve">  </w:t>
      </w:r>
      <w:r w:rsidRPr="00943B07">
        <w:rPr>
          <w:i/>
          <w:sz w:val="20"/>
        </w:rPr>
        <w:t>See Hawaii Preparedness Report</w:t>
      </w:r>
      <w:r w:rsidRPr="00943B07">
        <w:rPr>
          <w:sz w:val="20"/>
        </w:rPr>
        <w:t xml:space="preserve"> at 1 and Appendix B (outlining HI-EMA’s ballistic missile preparedness public awareness campaign between March 2017 and January 2018).    </w:t>
      </w:r>
    </w:p>
  </w:footnote>
  <w:footnote w:id="49">
    <w:p w:rsidR="003E6A33" w:rsidRPr="00943B07" w:rsidP="00355A0F">
      <w:pPr>
        <w:pStyle w:val="FootnoteText"/>
      </w:pPr>
      <w:r w:rsidRPr="00943B07">
        <w:rPr>
          <w:rStyle w:val="FootnoteReference"/>
        </w:rPr>
        <w:footnoteRef/>
      </w:r>
      <w:r w:rsidRPr="00943B07">
        <w:t xml:space="preserve"> The drill ends with a simulation of sending an alert to warn the public.  The ballistic missile alert checklist specifies, however, that the transmission is a test message.  Under the drill procedures, the test message should be sent only to FEMA IPAWS—it should never be transmitted to consumer phones, radios, or televisions.</w:t>
      </w:r>
    </w:p>
  </w:footnote>
  <w:footnote w:id="50">
    <w:p w:rsidR="003E6A33" w:rsidRPr="00943B07" w:rsidP="00E9413C">
      <w:pPr>
        <w:pStyle w:val="FootnoteText"/>
      </w:pPr>
      <w:r w:rsidRPr="00943B07">
        <w:rPr>
          <w:rStyle w:val="FootnoteReference"/>
        </w:rPr>
        <w:footnoteRef/>
      </w:r>
      <w:r w:rsidRPr="00943B07">
        <w:t xml:space="preserve"> A no-notice drill is a preparedness exercise that begins without prior warning to the warning officer initiating the alert.  This better simulates actual emergency conditions for the benefit of the warning officers.</w:t>
      </w:r>
    </w:p>
  </w:footnote>
  <w:footnote w:id="51">
    <w:p w:rsidR="003E6A33" w:rsidRPr="00943B07" w:rsidP="00E9413C">
      <w:pPr>
        <w:pStyle w:val="FootnoteText"/>
      </w:pPr>
      <w:r w:rsidRPr="00943B07">
        <w:rPr>
          <w:rStyle w:val="FootnoteReference"/>
        </w:rPr>
        <w:footnoteRef/>
      </w:r>
      <w:r w:rsidRPr="00943B07">
        <w:t xml:space="preserve"> The </w:t>
      </w:r>
      <w:r w:rsidRPr="00943B07">
        <w:rPr>
          <w:i/>
        </w:rPr>
        <w:t>HI-EMA Report</w:t>
      </w:r>
      <w:r w:rsidRPr="00943B07">
        <w:t xml:space="preserve"> notes that on January 13, 2018, the State Warning Point used the ballistic missile alert checklist.  </w:t>
      </w:r>
      <w:r w:rsidRPr="00943B07">
        <w:rPr>
          <w:i/>
        </w:rPr>
        <w:t>HI-EMA Report</w:t>
      </w:r>
      <w:r w:rsidRPr="00943B07">
        <w:t xml:space="preserve"> at </w:t>
      </w:r>
      <w:r>
        <w:t>6</w:t>
      </w:r>
      <w:r w:rsidRPr="00943B07">
        <w:t xml:space="preserve">.  </w:t>
      </w:r>
      <w:r>
        <w:t>According to the Bureau investigation, t</w:t>
      </w:r>
      <w:r w:rsidRPr="00943B07">
        <w:t xml:space="preserve">he version of the checklist that guided HI-EMA through its ballistic missile defense drill on January 13, 2018 was last revised on January 5, 2018.  Between November 28, 2017 and January 13, 2018, HI-EMA ran 18 tests using the ballistic missile alert checklist.  </w:t>
      </w:r>
    </w:p>
  </w:footnote>
  <w:footnote w:id="52">
    <w:p w:rsidR="003E6A33" w:rsidRPr="00943B07" w:rsidP="00A51ED7">
      <w:pPr>
        <w:pStyle w:val="FootnoteText"/>
      </w:pPr>
      <w:r w:rsidRPr="00943B07">
        <w:rPr>
          <w:rStyle w:val="FootnoteReference"/>
        </w:rPr>
        <w:footnoteRef/>
      </w:r>
      <w:r w:rsidRPr="00943B07">
        <w:t xml:space="preserve"> </w:t>
      </w:r>
      <w:r w:rsidRPr="00943B07">
        <w:rPr>
          <w:i/>
        </w:rPr>
        <w:t>Id.</w:t>
      </w:r>
      <w:r w:rsidRPr="00943B07">
        <w:t xml:space="preserve"> at 9.  The Bureau notes that the </w:t>
      </w:r>
      <w:r w:rsidRPr="00943B07">
        <w:rPr>
          <w:i/>
        </w:rPr>
        <w:t>HI-EMA Report</w:t>
      </w:r>
      <w:r w:rsidRPr="00943B07">
        <w:t xml:space="preserve"> refers to its alert initiation software as its alert origination “program.”  </w:t>
      </w:r>
      <w:r w:rsidRPr="00943B07">
        <w:rPr>
          <w:i/>
        </w:rPr>
        <w:t>Id</w:t>
      </w:r>
      <w:r w:rsidRPr="00943B07">
        <w:t xml:space="preserve">.  </w:t>
      </w:r>
      <w:r>
        <w:t>In t</w:t>
      </w:r>
      <w:r w:rsidRPr="00943B07">
        <w:t>his report</w:t>
      </w:r>
      <w:r>
        <w:t>, the Bureau</w:t>
      </w:r>
      <w:r w:rsidRPr="00943B07">
        <w:t xml:space="preserve"> refers to </w:t>
      </w:r>
      <w:r w:rsidRPr="00C43BB8">
        <w:t>HI-EMA’s</w:t>
      </w:r>
      <w:r w:rsidRPr="00943B07">
        <w:t xml:space="preserve"> alert initiation software as “software.”</w:t>
      </w:r>
    </w:p>
  </w:footnote>
  <w:footnote w:id="53">
    <w:p w:rsidR="003E6A33" w:rsidRPr="00943B07" w:rsidP="00E9413C">
      <w:pPr>
        <w:pStyle w:val="FootnoteText"/>
      </w:pPr>
      <w:r w:rsidRPr="00943B07">
        <w:rPr>
          <w:rStyle w:val="FootnoteReference"/>
        </w:rPr>
        <w:footnoteRef/>
      </w:r>
      <w:r w:rsidRPr="00943B07">
        <w:t xml:space="preserve"> </w:t>
      </w:r>
      <w:r w:rsidRPr="00943B07">
        <w:rPr>
          <w:i/>
        </w:rPr>
        <w:t>Id</w:t>
      </w:r>
      <w:r w:rsidRPr="00943B07">
        <w:t>. at 6.</w:t>
      </w:r>
    </w:p>
  </w:footnote>
  <w:footnote w:id="54">
    <w:p w:rsidR="003E6A33" w:rsidRPr="00943B07" w:rsidP="00E9413C">
      <w:pPr>
        <w:pStyle w:val="FootnoteText"/>
      </w:pPr>
      <w:r w:rsidRPr="00943B07">
        <w:rPr>
          <w:rStyle w:val="FootnoteReference"/>
        </w:rPr>
        <w:footnoteRef/>
      </w:r>
      <w:r w:rsidRPr="00943B07">
        <w:t xml:space="preserve"> The midnight shift supervisor had prepared a recording </w:t>
      </w:r>
      <w:r>
        <w:t>that combined</w:t>
      </w:r>
      <w:r w:rsidRPr="00943B07">
        <w:t xml:space="preserve"> the simulated PACOM ballistic missile alert notification </w:t>
      </w:r>
      <w:r>
        <w:t>with elements</w:t>
      </w:r>
      <w:r w:rsidRPr="00943B07">
        <w:t xml:space="preserve"> </w:t>
      </w:r>
      <w:r>
        <w:t>of the</w:t>
      </w:r>
      <w:r w:rsidRPr="00943B07">
        <w:t xml:space="preserve"> EAS message </w:t>
      </w:r>
      <w:r>
        <w:t xml:space="preserve">that would be used </w:t>
      </w:r>
      <w:r w:rsidRPr="00943B07">
        <w:t xml:space="preserve">for an actual ballistic missile threat.  The warning officers and shift supervisor on duty for the midnight shift ran this iteration of HI-EMA’s ballistic missile preparedness drill internally without incident just hours prior to transmission of the false alert.  </w:t>
      </w:r>
    </w:p>
  </w:footnote>
  <w:footnote w:id="55">
    <w:p w:rsidR="003E6A33" w:rsidRPr="00943B07">
      <w:pPr>
        <w:pStyle w:val="FootnoteText"/>
      </w:pPr>
      <w:r w:rsidRPr="00943B07">
        <w:rPr>
          <w:rStyle w:val="FootnoteReference"/>
        </w:rPr>
        <w:footnoteRef/>
      </w:r>
      <w:r w:rsidRPr="00943B07">
        <w:t xml:space="preserve"> The </w:t>
      </w:r>
      <w:r w:rsidRPr="00943B07">
        <w:rPr>
          <w:i/>
        </w:rPr>
        <w:t>HI-EMA Report</w:t>
      </w:r>
      <w:r w:rsidRPr="00943B07">
        <w:t xml:space="preserve"> found that at 8:00 a.m., “In preparation for the [ballistic missile alert] response drill, Employee 4 and Employee 2 discussed their plan their plan to conduct a [ballistic missile alert] drill at the end of their shift.  Employee 4 prepared a recording of PACOM [ballistic missile alert] notification from the [ballistic missile alert] checklist manual.  Employee 4 discussed leaving the [State Warning Point] area while Employee 2 told the dayshift about the previous shift change drill.”  </w:t>
      </w:r>
      <w:r w:rsidRPr="00943B07">
        <w:rPr>
          <w:i/>
        </w:rPr>
        <w:t>HI-EMA Report</w:t>
      </w:r>
      <w:r w:rsidRPr="00943B07">
        <w:t xml:space="preserve"> at 3.  The </w:t>
      </w:r>
      <w:r w:rsidRPr="00943B07">
        <w:rPr>
          <w:i/>
        </w:rPr>
        <w:t>HI-EMA Report</w:t>
      </w:r>
      <w:r w:rsidRPr="00943B07">
        <w:t xml:space="preserve"> stated that at 8:03 a.m., “The incoming day shift entered the [State Warning Point].  Employee 4 met with Employee 5 and discussed the [ballistic missile alert] drill.”  </w:t>
      </w:r>
      <w:r w:rsidRPr="00943B07">
        <w:rPr>
          <w:i/>
        </w:rPr>
        <w:t>Id</w:t>
      </w:r>
      <w:r w:rsidRPr="00943B07">
        <w:t>.</w:t>
      </w:r>
    </w:p>
  </w:footnote>
  <w:footnote w:id="56">
    <w:p w:rsidR="003E6A33" w:rsidRPr="00943B07">
      <w:pPr>
        <w:pStyle w:val="FootnoteText"/>
      </w:pPr>
      <w:r w:rsidRPr="00943B07">
        <w:rPr>
          <w:rStyle w:val="FootnoteReference"/>
        </w:rPr>
        <w:footnoteRef/>
      </w:r>
      <w:r w:rsidRPr="00943B07">
        <w:t xml:space="preserve"> The </w:t>
      </w:r>
      <w:r w:rsidRPr="00943B07">
        <w:rPr>
          <w:i/>
        </w:rPr>
        <w:t>HI-EMA Report</w:t>
      </w:r>
      <w:r w:rsidRPr="00943B07">
        <w:t xml:space="preserve"> found that at 8:06 a.m., “Employee 4 initiated the [ballistic missile alert] drill using a phone outside the [State Warning Point] area calling into the [State Warning Point secure telephone equipment].  Employee 2 activated the [secure telephone equipment] speaker.  At this time, it was announced loud and clear, ‘EXERCISE, EXERCISE, EXERCISE,’ and then concluded with, ‘EXERCISE, EXERCISE, EXERCISE,’ which is a normal procedure for all drills including this [ballistic missile alert] drill.  Both day and night shift began executing the [ballistic missile alert] checklist.  Employee 2 recorded the time of the simulated ballistic missile impact.  Employee 3 started the Countdown timer.  Employee 2 simulated activating the [ballistic missile alert] wail tone siren and verbally indicated completion of that action.”  </w:t>
      </w:r>
      <w:r w:rsidRPr="00943B07">
        <w:rPr>
          <w:i/>
        </w:rPr>
        <w:t xml:space="preserve">Id. </w:t>
      </w:r>
      <w:r w:rsidRPr="00943B07">
        <w:t>at 3.</w:t>
      </w:r>
    </w:p>
  </w:footnote>
  <w:footnote w:id="57">
    <w:p w:rsidR="003E6A33" w:rsidRPr="00943B07" w:rsidP="00E9413C">
      <w:pPr>
        <w:pStyle w:val="FootnoteText"/>
      </w:pPr>
      <w:r w:rsidRPr="00943B07">
        <w:rPr>
          <w:rStyle w:val="FootnoteReference"/>
        </w:rPr>
        <w:footnoteRef/>
      </w:r>
      <w:r w:rsidRPr="00943B07">
        <w:t xml:space="preserve"> The incoming warning officers who received this message and who are cooperating with the FCC investigation state that they knew that this erroneous incoming message was supposed to indicate the beginning of an exercise.  The </w:t>
      </w:r>
      <w:r w:rsidRPr="00943B07">
        <w:rPr>
          <w:i/>
        </w:rPr>
        <w:t>HI-EMA Report</w:t>
      </w:r>
      <w:r w:rsidRPr="00943B07">
        <w:t xml:space="preserve"> notes that the warning officer who triggered the false alert logged into the alert origination software and erroneously activated the “real-world Alert Code” at 8:06 a.m.  </w:t>
      </w:r>
      <w:r>
        <w:rPr>
          <w:i/>
        </w:rPr>
        <w:t>Id</w:t>
      </w:r>
      <w:r w:rsidRPr="00943B07">
        <w:t>.  The EAS event code used to indicate a real-world alert code was a Civil Defense Warning or CDW.  According to</w:t>
      </w:r>
      <w:r w:rsidRPr="00183EE1">
        <w:t xml:space="preserve"> the Bureau’s invest</w:t>
      </w:r>
      <w:r w:rsidRPr="00F6136E">
        <w:t xml:space="preserve">igation, the employee who triggered the false alert </w:t>
      </w:r>
      <w:r>
        <w:t>sent out</w:t>
      </w:r>
      <w:r w:rsidRPr="00F6136E">
        <w:t xml:space="preserve"> the false alert at 8:07 a.m. on the alert origination software.  The </w:t>
      </w:r>
      <w:r w:rsidRPr="0071138A">
        <w:rPr>
          <w:i/>
        </w:rPr>
        <w:t>HI-EMA Report</w:t>
      </w:r>
      <w:r w:rsidRPr="0071138A">
        <w:t xml:space="preserve">, however, describes the point in time </w:t>
      </w:r>
      <w:r w:rsidRPr="008055EC">
        <w:t xml:space="preserve">when the employee who triggered the false </w:t>
      </w:r>
      <w:r w:rsidRPr="005D4713">
        <w:t xml:space="preserve">alert logged into the alert origination software to begin the process for initiating the alert.  In other words, the </w:t>
      </w:r>
      <w:r w:rsidRPr="006A35CD">
        <w:rPr>
          <w:i/>
        </w:rPr>
        <w:t>HI-EMA Report</w:t>
      </w:r>
      <w:r w:rsidRPr="006A35CD">
        <w:t xml:space="preserve"> does not define the point in time in which the employee completed the process of triggering </w:t>
      </w:r>
      <w:r w:rsidRPr="00DE52B7">
        <w:t xml:space="preserve">the false alert on the alert origination software. </w:t>
      </w:r>
    </w:p>
  </w:footnote>
  <w:footnote w:id="58">
    <w:p w:rsidR="003E6A33" w:rsidRPr="00943B07" w:rsidP="00293C65">
      <w:pPr>
        <w:pStyle w:val="FootnoteText"/>
      </w:pPr>
      <w:r w:rsidRPr="00943B07">
        <w:rPr>
          <w:rStyle w:val="FootnoteReference"/>
        </w:rPr>
        <w:footnoteRef/>
      </w:r>
      <w:r w:rsidRPr="00943B07">
        <w:t xml:space="preserve"> At 8:07 a.m., according to the </w:t>
      </w:r>
      <w:r w:rsidRPr="00943B07">
        <w:rPr>
          <w:i/>
        </w:rPr>
        <w:t>HI-EMA Report</w:t>
      </w:r>
      <w:r w:rsidRPr="00943B07">
        <w:t xml:space="preserve">, “the [State Warning Point] began receiving WEA/EAS messages on their personal devices.”  </w:t>
      </w:r>
      <w:r>
        <w:rPr>
          <w:i/>
        </w:rPr>
        <w:t>Id.</w:t>
      </w:r>
      <w:r w:rsidRPr="00943B07">
        <w:t xml:space="preserve"> at </w:t>
      </w:r>
      <w:r>
        <w:t>3</w:t>
      </w:r>
      <w:r w:rsidRPr="00943B07">
        <w:t>.  According to the Bureau’s investigation, the employee who triggered the false alert received the alert on that employee’s mobile device at 8:08 a.m.  The Bureau report does not preclude the possibility that other State Warning Point employees received the false alert at 8:07 a.m. along with members of the general population.</w:t>
      </w:r>
    </w:p>
  </w:footnote>
  <w:footnote w:id="59">
    <w:p w:rsidR="003E6A33" w:rsidRPr="00943B07" w:rsidP="00AE2DE0">
      <w:pPr>
        <w:pStyle w:val="FootnoteText"/>
        <w:rPr>
          <w:i/>
        </w:rPr>
      </w:pPr>
      <w:r w:rsidRPr="00943B07">
        <w:rPr>
          <w:rStyle w:val="FootnoteReference"/>
        </w:rPr>
        <w:footnoteRef/>
      </w:r>
      <w:r w:rsidRPr="00943B07">
        <w:t xml:space="preserve"> State Adjutant Major General Joe Logan also learned of the false alert when he received it on his mobile device. According to the </w:t>
      </w:r>
      <w:r w:rsidRPr="00943B07">
        <w:rPr>
          <w:i/>
        </w:rPr>
        <w:t>HI-EMA Report</w:t>
      </w:r>
      <w:r w:rsidRPr="00943B07">
        <w:t xml:space="preserve">, at 8:09 a.m., HI-EMA used the Hawaii Warning System to inform all the counties that the alarm was false and conducted a roll call of all four counties in Hawaii to confirm each counties’ acknowledgement of the false alert.  </w:t>
      </w:r>
      <w:r w:rsidRPr="00943B07">
        <w:rPr>
          <w:i/>
        </w:rPr>
        <w:t>See id.</w:t>
      </w:r>
      <w:r>
        <w:t xml:space="preserve"> at 4.</w:t>
      </w:r>
      <w:r w:rsidRPr="00943B07">
        <w:rPr>
          <w:i/>
        </w:rPr>
        <w:t xml:space="preserve"> </w:t>
      </w:r>
    </w:p>
  </w:footnote>
  <w:footnote w:id="60">
    <w:p w:rsidR="003E6A33" w:rsidRPr="00943B07" w:rsidP="00AE2DE0">
      <w:pPr>
        <w:pStyle w:val="FootnoteText"/>
        <w:tabs>
          <w:tab w:val="left" w:pos="6000"/>
        </w:tabs>
      </w:pPr>
      <w:r w:rsidRPr="00943B07">
        <w:rPr>
          <w:rStyle w:val="FootnoteReference"/>
        </w:rPr>
        <w:footnoteRef/>
      </w:r>
      <w:r w:rsidRPr="00943B07">
        <w:t xml:space="preserve"> According to the </w:t>
      </w:r>
      <w:r w:rsidRPr="00943B07">
        <w:rPr>
          <w:i/>
        </w:rPr>
        <w:t>HI-EMA Report,</w:t>
      </w:r>
      <w:r w:rsidRPr="00943B07">
        <w:t xml:space="preserve"> a State Warning Point employee sent a cancellation message at 8:12 a.m., and the State Warning Point issued a cancellation of the CDW message at 8:13 a.m.  </w:t>
      </w:r>
      <w:r w:rsidRPr="00943B07">
        <w:rPr>
          <w:i/>
        </w:rPr>
        <w:t>Id.</w:t>
      </w:r>
    </w:p>
  </w:footnote>
  <w:footnote w:id="61">
    <w:p w:rsidR="003E6A33" w:rsidRPr="00943B07" w:rsidP="00E9413C">
      <w:pPr>
        <w:pStyle w:val="FootnoteText"/>
      </w:pPr>
      <w:r w:rsidRPr="00943B07">
        <w:rPr>
          <w:rStyle w:val="FootnoteReference"/>
        </w:rPr>
        <w:footnoteRef/>
      </w:r>
      <w:r w:rsidRPr="00943B07">
        <w:t xml:space="preserve"> The cancellation </w:t>
      </w:r>
      <w:r w:rsidRPr="00183EE1">
        <w:t>is an instruction to downstream EAS and WEA equipment to cease retransmission.  It does not generate a new alert transmission (</w:t>
      </w:r>
      <w:r w:rsidRPr="00F6136E">
        <w:rPr>
          <w:i/>
        </w:rPr>
        <w:t>e.g.</w:t>
      </w:r>
      <w:r w:rsidRPr="00F6136E">
        <w:t>, an</w:t>
      </w:r>
      <w:r w:rsidRPr="00F6136E">
        <w:rPr>
          <w:i/>
        </w:rPr>
        <w:t xml:space="preserve"> </w:t>
      </w:r>
      <w:r w:rsidRPr="00F6136E">
        <w:t xml:space="preserve">“all clear” message).  </w:t>
      </w:r>
      <w:r w:rsidRPr="00943B07">
        <w:t xml:space="preserve">It also does not “recall” messages that have already been transmitted and displayed.  </w:t>
      </w:r>
    </w:p>
  </w:footnote>
  <w:footnote w:id="62">
    <w:p w:rsidR="003E6A33" w:rsidRPr="00943B07" w:rsidP="00E9413C">
      <w:pPr>
        <w:pStyle w:val="FootnoteText"/>
      </w:pPr>
      <w:r w:rsidRPr="00943B07">
        <w:rPr>
          <w:rStyle w:val="FootnoteReference"/>
        </w:rPr>
        <w:footnoteRef/>
      </w:r>
      <w:r w:rsidRPr="00943B07">
        <w:t xml:space="preserve"> In the Bureau staff interview with HI-EMA, HI-EMA identified the fact that it had very few warning officers on duty relative to the inundation of public inquiries that it received as a contributing factor to the delay in issuing a correction.</w:t>
      </w:r>
    </w:p>
  </w:footnote>
  <w:footnote w:id="63">
    <w:p w:rsidR="003E6A33" w:rsidRPr="00943B07">
      <w:pPr>
        <w:pStyle w:val="FootnoteText"/>
      </w:pPr>
      <w:r w:rsidRPr="00943B07">
        <w:rPr>
          <w:rStyle w:val="FootnoteReference"/>
        </w:rPr>
        <w:footnoteRef/>
      </w:r>
      <w:r w:rsidRPr="00943B07">
        <w:t xml:space="preserve"> At 8:15 a.m., the </w:t>
      </w:r>
      <w:r w:rsidRPr="00943B07">
        <w:rPr>
          <w:i/>
        </w:rPr>
        <w:t>HI-EMA Report</w:t>
      </w:r>
      <w:r w:rsidRPr="00943B07">
        <w:t xml:space="preserve"> notes that a HI-EMA employee notified a local FM radio station engineer of the false alert.  </w:t>
      </w:r>
      <w:r>
        <w:rPr>
          <w:i/>
        </w:rPr>
        <w:t>Id</w:t>
      </w:r>
      <w:r w:rsidRPr="00943B07">
        <w:t xml:space="preserve">.  At 8:18 a.m., the </w:t>
      </w:r>
      <w:r w:rsidRPr="00943B07">
        <w:rPr>
          <w:i/>
        </w:rPr>
        <w:t>HI-EMA Report</w:t>
      </w:r>
      <w:r w:rsidRPr="00943B07">
        <w:t xml:space="preserve"> observes that the HI-DOD notified a news media outlet in order to alert the public that the ballistic missile alert message was false.  </w:t>
      </w:r>
      <w:r>
        <w:rPr>
          <w:i/>
        </w:rPr>
        <w:t>Id</w:t>
      </w:r>
      <w:r w:rsidRPr="00943B07">
        <w:t xml:space="preserve">.  </w:t>
      </w:r>
    </w:p>
  </w:footnote>
  <w:footnote w:id="64">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w:t>
      </w:r>
      <w:r w:rsidRPr="00943B07">
        <w:rPr>
          <w:i/>
        </w:rPr>
        <w:t xml:space="preserve">infra </w:t>
      </w:r>
      <w:r w:rsidRPr="00943B07">
        <w:t xml:space="preserve">Appendix C.  At 8:20 a.m. and 8:22 a.m., the </w:t>
      </w:r>
      <w:r w:rsidRPr="00943B07">
        <w:rPr>
          <w:i/>
        </w:rPr>
        <w:t>HI-EMA Report</w:t>
      </w:r>
      <w:r w:rsidRPr="00943B07">
        <w:t xml:space="preserve"> notes that HI-DOD notified broadcast stations KHON and KITV, respectively, to notify the public of the false alert.</w:t>
      </w:r>
      <w:r w:rsidRPr="00943B07">
        <w:rPr>
          <w:i/>
        </w:rPr>
        <w:t xml:space="preserve">  HI-EMA Report</w:t>
      </w:r>
      <w:r w:rsidRPr="00943B07">
        <w:t xml:space="preserve"> at 5.</w:t>
      </w:r>
    </w:p>
  </w:footnote>
  <w:footnote w:id="65">
    <w:p w:rsidR="003E6A33" w:rsidRPr="00943B07" w:rsidP="00E9413C">
      <w:pPr>
        <w:pStyle w:val="FootnoteText"/>
      </w:pPr>
      <w:r w:rsidRPr="00943B07">
        <w:rPr>
          <w:rStyle w:val="FootnoteReference"/>
        </w:rPr>
        <w:footnoteRef/>
      </w:r>
      <w:r w:rsidRPr="00943B07">
        <w:t xml:space="preserve"> </w:t>
      </w:r>
      <w:r w:rsidRPr="00943B07">
        <w:rPr>
          <w:i/>
        </w:rPr>
        <w:t xml:space="preserve">See </w:t>
      </w:r>
      <w:r w:rsidRPr="00943B07">
        <w:t xml:space="preserve">Travis Andrews, </w:t>
      </w:r>
      <w:r w:rsidRPr="00943B07">
        <w:rPr>
          <w:i/>
        </w:rPr>
        <w:t>Hawaii Governor Didn’t Correct False Missile Alert Sooner Because He Didn’t Know his Twitter Password</w:t>
      </w:r>
      <w:r w:rsidRPr="00943B07">
        <w:t>, Washington Post (Jan. 23, 2018), https://www.washingtonpost.com/news/morning-mix/wp/2018/01/23/hawaii-governor-didnt-correct-false-missile-alert-sooner-because-he-didnt-know-his-twitter-password/?utm_term=.6068396c37e8 (attributing the delay between when the Governor learned that the alert was false and his issuance of public notice to the fact that the Governor did not know his Twitter password).</w:t>
      </w:r>
    </w:p>
  </w:footnote>
  <w:footnote w:id="66">
    <w:p w:rsidR="003E6A33" w:rsidRPr="00943B07" w:rsidP="00E9413C">
      <w:pPr>
        <w:pStyle w:val="FootnoteText"/>
      </w:pPr>
      <w:r w:rsidRPr="00943B07">
        <w:rPr>
          <w:rStyle w:val="FootnoteReference"/>
        </w:rPr>
        <w:footnoteRef/>
      </w:r>
      <w:r w:rsidRPr="00943B07">
        <w:t xml:space="preserve"> </w:t>
      </w:r>
      <w:r w:rsidRPr="00943B07">
        <w:rPr>
          <w:bCs/>
        </w:rPr>
        <w:t xml:space="preserve">In initiating an EAS message, the alert originator encodes a message using EAS Protocol.  EAS Protocol utilizes a three-character “event code” to describe the nature of the alert.  </w:t>
      </w:r>
      <w:r w:rsidRPr="00943B07">
        <w:t xml:space="preserve">A Civil Emergency Message (CEM) is an event code that EAS Participants may support under the Commission’s EAS rules. </w:t>
      </w:r>
      <w:r w:rsidRPr="00943B07">
        <w:rPr>
          <w:i/>
        </w:rPr>
        <w:t xml:space="preserve"> See</w:t>
      </w:r>
      <w:r w:rsidRPr="00943B07">
        <w:t xml:space="preserve"> 47 CFR </w:t>
      </w:r>
      <w:r w:rsidRPr="00943B07">
        <w:rPr>
          <w:bCs/>
        </w:rPr>
        <w:t xml:space="preserve">§ 11.31(e).  </w:t>
      </w:r>
      <w:r w:rsidRPr="00943B07">
        <w:t xml:space="preserve">Civil Emergency Messages </w:t>
      </w:r>
      <w:r w:rsidRPr="00943B07">
        <w:rPr>
          <w:bCs/>
        </w:rPr>
        <w:t xml:space="preserve">are transmitted over WEA as Imminent Threat Alerts. </w:t>
      </w:r>
      <w:r w:rsidRPr="00943B07">
        <w:rPr>
          <w:bCs/>
          <w:i/>
        </w:rPr>
        <w:t xml:space="preserve"> See </w:t>
      </w:r>
      <w:r w:rsidRPr="00943B07">
        <w:t xml:space="preserve">47 CFR </w:t>
      </w:r>
      <w:r w:rsidRPr="00943B07">
        <w:rPr>
          <w:bCs/>
        </w:rPr>
        <w:t>§ 10.400.</w:t>
      </w:r>
    </w:p>
  </w:footnote>
  <w:footnote w:id="67">
    <w:p w:rsidR="003E6A33" w:rsidRPr="00943B07" w:rsidP="00E9413C">
      <w:pPr>
        <w:pStyle w:val="FootnoteText"/>
      </w:pPr>
      <w:r w:rsidRPr="00943B07">
        <w:rPr>
          <w:rStyle w:val="FootnoteReference"/>
        </w:rPr>
        <w:footnoteRef/>
      </w:r>
      <w:r w:rsidRPr="00943B07">
        <w:t xml:space="preserve"> FEMA did not need to authorize HI-EMA to send the correction as a CEM, and HI-EMA knew that at the time that they called.  The reason for the call was to confirm HI-EMA’s assessment that CEM was the appropriate code and to receive any additional guidance that FEMA may provide.</w:t>
      </w:r>
    </w:p>
  </w:footnote>
  <w:footnote w:id="68">
    <w:p w:rsidR="003E6A33" w:rsidRPr="00943B07" w:rsidP="00E9413C">
      <w:pPr>
        <w:pStyle w:val="FootnoteText"/>
      </w:pPr>
      <w:r w:rsidRPr="00943B07">
        <w:rPr>
          <w:rStyle w:val="FootnoteReference"/>
        </w:rPr>
        <w:footnoteRef/>
      </w:r>
      <w:r w:rsidRPr="00943B07">
        <w:t xml:space="preserve"> The EAS correction message, unlike the initial false alert, did not contain audio.  This is because, in the rush to create the alert, the Deputy Chief of the Telecommunications Branch did not click to preview and save the text-to-speech audio accompaniment the alert origination software automatically created for their message.</w:t>
      </w:r>
    </w:p>
  </w:footnote>
  <w:footnote w:id="69">
    <w:p w:rsidR="003E6A33" w:rsidRPr="00943B07" w:rsidP="00E9413C">
      <w:pPr>
        <w:pStyle w:val="FootnoteText"/>
      </w:pPr>
      <w:r w:rsidRPr="00943B07">
        <w:rPr>
          <w:rStyle w:val="FootnoteReference"/>
        </w:rPr>
        <w:footnoteRef/>
      </w:r>
      <w:r w:rsidRPr="00943B07">
        <w:t xml:space="preserve"> </w:t>
      </w:r>
      <w:r w:rsidRPr="00943B07">
        <w:rPr>
          <w:i/>
        </w:rPr>
        <w:t>HI-EMA Report</w:t>
      </w:r>
      <w:r w:rsidRPr="00943B07">
        <w:t xml:space="preserve"> at 6.</w:t>
      </w:r>
    </w:p>
  </w:footnote>
  <w:footnote w:id="70">
    <w:p w:rsidR="003E6A33" w:rsidRPr="00943B07" w:rsidP="003726C2">
      <w:pPr>
        <w:pStyle w:val="FootnoteText"/>
      </w:pPr>
      <w:r w:rsidRPr="00943B07">
        <w:rPr>
          <w:rStyle w:val="FootnoteReference"/>
        </w:rPr>
        <w:footnoteRef/>
      </w:r>
      <w:r w:rsidRPr="00943B07">
        <w:t xml:space="preserve"> </w:t>
      </w:r>
      <w:r w:rsidRPr="00943B07">
        <w:rPr>
          <w:i/>
        </w:rPr>
        <w:t>Id</w:t>
      </w:r>
      <w:r w:rsidRPr="00943B07">
        <w:t xml:space="preserve">. at 6, 10.  The </w:t>
      </w:r>
      <w:r w:rsidRPr="00943B07">
        <w:rPr>
          <w:i/>
        </w:rPr>
        <w:t>HI-EMA Report</w:t>
      </w:r>
      <w:r w:rsidRPr="00943B07">
        <w:t xml:space="preserve"> observed that State Warning Point staff held concerns about this employee’s performance for over ten years.  The lead investigator noted that this employee had previously confused real-life events and drills “on at least two separate occasions.”  </w:t>
      </w:r>
      <w:r w:rsidRPr="00943B07">
        <w:rPr>
          <w:i/>
        </w:rPr>
        <w:t>Id</w:t>
      </w:r>
      <w:r w:rsidRPr="00943B07">
        <w:t>. at 10.</w:t>
      </w:r>
    </w:p>
  </w:footnote>
  <w:footnote w:id="71">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NBC News, </w:t>
      </w:r>
      <w:r w:rsidRPr="00943B07">
        <w:rPr>
          <w:i/>
        </w:rPr>
        <w:t>Man Who Sent Hawaii False Alert Speaks Out</w:t>
      </w:r>
      <w:r w:rsidRPr="00943B07">
        <w:t>, (Feb. 2, 2018), https://www.nbcnews.com/nightly-news/video/man-who-sent-hawaii-false-missile-alert-speaks-out-1152660547656.</w:t>
      </w:r>
    </w:p>
  </w:footnote>
  <w:footnote w:id="72">
    <w:p w:rsidR="003E6A33" w:rsidRPr="00943B07" w:rsidP="00E9413C">
      <w:pPr>
        <w:pStyle w:val="FootnoteText"/>
      </w:pPr>
      <w:r w:rsidRPr="00943B07">
        <w:rPr>
          <w:rStyle w:val="FootnoteReference"/>
        </w:rPr>
        <w:footnoteRef/>
      </w:r>
      <w:r w:rsidRPr="00943B07">
        <w:t xml:space="preserve"> The midnight shift supervisor specifically decided to drill at shift change, reasoning that it would be most difficult for warning officers to properly respond to a call from PACOM announcing an incoming ballistic missile during a shift change.  Drilling at shift change is not standard procedure for HI-EMA.</w:t>
      </w:r>
    </w:p>
  </w:footnote>
  <w:footnote w:id="73">
    <w:p w:rsidR="003E6A33" w:rsidRPr="00943B07" w:rsidP="00E9413C">
      <w:pPr>
        <w:pStyle w:val="FootnoteText"/>
      </w:pPr>
      <w:r w:rsidRPr="00943B07">
        <w:rPr>
          <w:rStyle w:val="FootnoteReference"/>
        </w:rPr>
        <w:footnoteRef/>
      </w:r>
      <w:r w:rsidRPr="00943B07">
        <w:t xml:space="preserve"> One emergency management agency the Bureau interviewed acknowledged that if a warning officer conducted a test independently, it would be considered a violation of operating procedures and would result in the termination of that officer’s employment.</w:t>
      </w:r>
    </w:p>
  </w:footnote>
  <w:footnote w:id="74">
    <w:p w:rsidR="003E6A33" w:rsidRPr="00943B07" w:rsidP="00E9413C">
      <w:pPr>
        <w:pStyle w:val="FootnoteText"/>
      </w:pPr>
      <w:r w:rsidRPr="00943B07">
        <w:rPr>
          <w:rStyle w:val="FootnoteReference"/>
        </w:rPr>
        <w:footnoteRef/>
      </w:r>
      <w:r w:rsidRPr="00943B07">
        <w:t xml:space="preserve"> One emergency management agency the Bureau interviewed has established a particular day each week for any emergency alert system drills or tests.</w:t>
      </w:r>
    </w:p>
  </w:footnote>
  <w:footnote w:id="75">
    <w:p w:rsidR="003E6A33" w:rsidRPr="00943B07">
      <w:pPr>
        <w:pStyle w:val="FootnoteText"/>
      </w:pPr>
      <w:r w:rsidRPr="00943B07">
        <w:rPr>
          <w:rStyle w:val="FootnoteReference"/>
        </w:rPr>
        <w:footnoteRef/>
      </w:r>
      <w:r w:rsidRPr="00943B07">
        <w:t xml:space="preserve"> The </w:t>
      </w:r>
      <w:r w:rsidRPr="00943B07">
        <w:rPr>
          <w:i/>
        </w:rPr>
        <w:t>Hawaii Preparedness Report</w:t>
      </w:r>
      <w:r w:rsidRPr="00943B07">
        <w:t xml:space="preserve"> noted that HI-EMA’s alert origination software did not require two credentialed individuals to separately log in and approve transmission of a ballistic missile alert.  </w:t>
      </w:r>
      <w:r w:rsidRPr="00943B07">
        <w:rPr>
          <w:i/>
        </w:rPr>
        <w:t>See</w:t>
      </w:r>
      <w:r w:rsidRPr="00943B07">
        <w:t xml:space="preserve"> </w:t>
      </w:r>
      <w:r w:rsidRPr="00943B07">
        <w:rPr>
          <w:i/>
        </w:rPr>
        <w:t>Hawaii Preparedness Report</w:t>
      </w:r>
      <w:r w:rsidRPr="00943B07">
        <w:t xml:space="preserve"> at 2.  Further, the </w:t>
      </w:r>
      <w:r w:rsidRPr="00943B07">
        <w:rPr>
          <w:i/>
        </w:rPr>
        <w:t>Hawaii Preparedness Report</w:t>
      </w:r>
      <w:r w:rsidRPr="00943B07">
        <w:t xml:space="preserve"> observed that not all shifts within the State Warning Point mandated a two-person requirement to send ballistic missile alert messages.  </w:t>
      </w:r>
      <w:r w:rsidRPr="00943B07">
        <w:rPr>
          <w:i/>
        </w:rPr>
        <w:t>See</w:t>
      </w:r>
      <w:r w:rsidRPr="00943B07">
        <w:t xml:space="preserve"> </w:t>
      </w:r>
      <w:r w:rsidRPr="00943B07">
        <w:rPr>
          <w:i/>
        </w:rPr>
        <w:t>id</w:t>
      </w:r>
      <w:r w:rsidRPr="00943B07">
        <w:t xml:space="preserve">.  A January 2018 press report indicates that other states, such as California, Oklahoma, Oregon, and Washington, have procedures in place to prevent sending false alarms statewide that could “strike mortal fear into the communities they serve,” ranging from having a two-person verification protocol for issuing a state or multi-county alert to having multiple people craft alert messages.  </w:t>
      </w:r>
      <w:r w:rsidRPr="00943B07">
        <w:rPr>
          <w:i/>
        </w:rPr>
        <w:t>See</w:t>
      </w:r>
      <w:r w:rsidRPr="00943B07">
        <w:t xml:space="preserve"> Mark Berman, Washington Post, </w:t>
      </w:r>
      <w:r w:rsidRPr="00943B07">
        <w:rPr>
          <w:i/>
        </w:rPr>
        <w:t>Hawaii sent out a false missile alert.  Here’s how other states avoid the same mistake</w:t>
      </w:r>
      <w:r w:rsidRPr="00943B07">
        <w:t xml:space="preserve">. (Jan. 31, 2018), https://www.washingtonpost.com/?utm_term=.64243c730821.  In Washington, for example, “any alert about a possible missile attack would ‘undergo layers of scrutiny before it was sent.’”  </w:t>
      </w:r>
      <w:r w:rsidRPr="00943B07">
        <w:rPr>
          <w:i/>
        </w:rPr>
        <w:t>Id</w:t>
      </w:r>
      <w:r w:rsidRPr="00943B07">
        <w:t xml:space="preserve">.  In California, three officials would be involved in crafting a statewide alert, and even then, a “higher-up has to approve an alert before it is dispatched from the California State Warning Center.”  </w:t>
      </w:r>
      <w:r w:rsidRPr="00183EE1">
        <w:rPr>
          <w:i/>
        </w:rPr>
        <w:t>Id</w:t>
      </w:r>
      <w:r w:rsidRPr="00183EE1">
        <w:t>.</w:t>
      </w:r>
    </w:p>
  </w:footnote>
  <w:footnote w:id="76">
    <w:p w:rsidR="003E6A33" w:rsidRPr="00601C97" w:rsidP="00DB42C4">
      <w:pPr>
        <w:autoSpaceDE w:val="0"/>
        <w:autoSpaceDN w:val="0"/>
        <w:adjustRightInd w:val="0"/>
        <w:spacing w:after="120"/>
        <w:rPr>
          <w:sz w:val="20"/>
        </w:rPr>
      </w:pPr>
      <w:r w:rsidRPr="00601C97">
        <w:rPr>
          <w:rStyle w:val="FootnoteReference"/>
        </w:rPr>
        <w:footnoteRef/>
      </w:r>
      <w:r w:rsidRPr="00601C97">
        <w:rPr>
          <w:sz w:val="20"/>
        </w:rPr>
        <w:t xml:space="preserve"> </w:t>
      </w:r>
      <w:r w:rsidRPr="00601C97">
        <w:rPr>
          <w:i/>
          <w:sz w:val="20"/>
        </w:rPr>
        <w:t>HI-EMA Report</w:t>
      </w:r>
      <w:r w:rsidRPr="00601C97">
        <w:rPr>
          <w:sz w:val="20"/>
        </w:rPr>
        <w:t xml:space="preserve"> at 8.  According to the </w:t>
      </w:r>
      <w:r w:rsidRPr="00601C97">
        <w:rPr>
          <w:i/>
          <w:sz w:val="20"/>
        </w:rPr>
        <w:t>Hawaii Preparedness Report</w:t>
      </w:r>
      <w:r w:rsidRPr="00601C97">
        <w:rPr>
          <w:sz w:val="20"/>
        </w:rPr>
        <w:t xml:space="preserve">, “A complete comprehensive annex or plan to address the Ballistic Missile Preparedness (BMP) threat had not been fully developed prior to commencement of missile alert siren testing and internal missile alert drills[,]” and that this approach contradicted HI-EMA’s all hazards protocols.  </w:t>
      </w:r>
      <w:r w:rsidRPr="00601C97">
        <w:rPr>
          <w:i/>
          <w:sz w:val="20"/>
        </w:rPr>
        <w:t>Hawaii Preparedness Report</w:t>
      </w:r>
      <w:r w:rsidRPr="00601C97">
        <w:rPr>
          <w:sz w:val="20"/>
        </w:rPr>
        <w:t xml:space="preserve"> at 1.</w:t>
      </w:r>
    </w:p>
  </w:footnote>
  <w:footnote w:id="77">
    <w:p w:rsidR="003E6A33">
      <w:pPr>
        <w:pStyle w:val="FootnoteText"/>
      </w:pPr>
      <w:r>
        <w:rPr>
          <w:rStyle w:val="FootnoteReference"/>
        </w:rPr>
        <w:footnoteRef/>
      </w:r>
      <w:r>
        <w:t xml:space="preserve"> The ballistic missile checklist was intended for use in connection with a real ballistic missile attack.</w:t>
      </w:r>
    </w:p>
  </w:footnote>
  <w:footnote w:id="78">
    <w:p w:rsidR="003E6A33" w:rsidRPr="00943B07" w:rsidP="00C16B63">
      <w:pPr>
        <w:pStyle w:val="FootnoteText"/>
      </w:pPr>
      <w:r w:rsidRPr="00943B07">
        <w:rPr>
          <w:rStyle w:val="FootnoteReference"/>
        </w:rPr>
        <w:footnoteRef/>
      </w:r>
      <w:r w:rsidRPr="00943B07">
        <w:t xml:space="preserve"> The </w:t>
      </w:r>
      <w:r w:rsidRPr="00943B07">
        <w:rPr>
          <w:i/>
        </w:rPr>
        <w:t>HI-EMA Report</w:t>
      </w:r>
      <w:r w:rsidRPr="00943B07">
        <w:t xml:space="preserve"> states, “Notification for Step 1 of the [ballistic missile alert] checklist is used for actual ballistic missile attack using phrases ‘Real world’ and ‘This is not drill.’”  </w:t>
      </w:r>
      <w:r w:rsidRPr="00943B07">
        <w:rPr>
          <w:i/>
        </w:rPr>
        <w:t>HI-EMA Report</w:t>
      </w:r>
      <w:r w:rsidRPr="00943B07">
        <w:t xml:space="preserve"> at 8.  In a press conference addressing the </w:t>
      </w:r>
      <w:r w:rsidRPr="00943B07">
        <w:rPr>
          <w:i/>
        </w:rPr>
        <w:t>HI-EMA Report’s</w:t>
      </w:r>
      <w:r w:rsidRPr="00943B07">
        <w:t xml:space="preserve"> findings, however, the investigator noted that the midnight shift supervisor deviated from the script for initiating an internal drill.  </w:t>
      </w:r>
      <w:r w:rsidRPr="0071138A">
        <w:rPr>
          <w:i/>
        </w:rPr>
        <w:t>See</w:t>
      </w:r>
      <w:r>
        <w:t xml:space="preserve"> </w:t>
      </w:r>
      <w:r w:rsidRPr="00943B07">
        <w:t xml:space="preserve">Press Conference, Missile Alarm Live Stream, </w:t>
      </w:r>
      <w:r>
        <w:t xml:space="preserve">at 53:42, </w:t>
      </w:r>
      <w:r w:rsidRPr="00943B07">
        <w:t>http://dod.hawaii.gov/hiema/false-alarm-incidents-internal-investigation-complete-release-of-results-and-actions/ (last visited Mar. 28, 2018).</w:t>
      </w:r>
      <w:r>
        <w:t xml:space="preserve">  </w:t>
      </w:r>
      <w:r w:rsidRPr="00943B07">
        <w:t xml:space="preserve">The investigator also noted that the midnight shift supervisor “combined” elements from two messages to initiate the internal drill (1) one message includes the phrase “real world” and (2) a second message includes “This is not a drill.”  </w:t>
      </w:r>
      <w:r w:rsidRPr="0071138A">
        <w:rPr>
          <w:i/>
        </w:rPr>
        <w:t>Id</w:t>
      </w:r>
      <w:r>
        <w:t xml:space="preserve">. at 27:16.  </w:t>
      </w:r>
      <w:r w:rsidRPr="00943B07">
        <w:t xml:space="preserve">The investigator noted that supervisors had the flexibility to create drill initiation messages.  </w:t>
      </w:r>
      <w:r w:rsidRPr="0071138A">
        <w:rPr>
          <w:i/>
        </w:rPr>
        <w:t>Id</w:t>
      </w:r>
      <w:r>
        <w:t xml:space="preserve">. at 53:42.  </w:t>
      </w:r>
      <w:r w:rsidRPr="00943B07">
        <w:t xml:space="preserve">The investigator observed that the phrase “exercise, exercise, exercise” preceded and followed the drill initiation message transmitted to the State Warning Point.  </w:t>
      </w:r>
      <w:r w:rsidRPr="0071138A">
        <w:rPr>
          <w:i/>
        </w:rPr>
        <w:t>Id</w:t>
      </w:r>
      <w:r>
        <w:t>.</w:t>
      </w:r>
      <w:r w:rsidRPr="00943B07">
        <w:t xml:space="preserve">  In HI-EMA’s audio recording of the </w:t>
      </w:r>
      <w:r>
        <w:t>drill initiation message preceding the false alert</w:t>
      </w:r>
      <w:r w:rsidRPr="00943B07">
        <w:t xml:space="preserve">, the phrase “exercise, exercise, exercise” can be heard at the beginning of the recording, followed by a high-pitch sound, then the phrase “This is not a drill,” then a second high-pitch sound, and concluding with the phrase “exercise, exercise, exercise.”  </w:t>
      </w:r>
      <w:r w:rsidRPr="00943B07">
        <w:rPr>
          <w:i/>
        </w:rPr>
        <w:t>See</w:t>
      </w:r>
      <w:r w:rsidRPr="00943B07">
        <w:t xml:space="preserve"> </w:t>
      </w:r>
      <w:r w:rsidRPr="00970554">
        <w:rPr>
          <w:i/>
        </w:rPr>
        <w:t>HI-EMA Audio File</w:t>
      </w:r>
      <w:r>
        <w:t xml:space="preserve">, </w:t>
      </w:r>
      <w:r w:rsidRPr="00943B07">
        <w:rPr>
          <w:i/>
        </w:rPr>
        <w:t>supra</w:t>
      </w:r>
      <w:r w:rsidRPr="00943B07">
        <w:t xml:space="preserve"> note </w:t>
      </w:r>
      <w:r w:rsidRPr="00183EE1">
        <w:fldChar w:fldCharType="begin"/>
      </w:r>
      <w:r w:rsidRPr="00943B07">
        <w:instrText xml:space="preserve"> NOTEREF _Ref509520447 \h  \* MERGEFORMAT </w:instrText>
      </w:r>
      <w:r w:rsidRPr="00183EE1">
        <w:fldChar w:fldCharType="separate"/>
      </w:r>
      <w:r w:rsidR="00520284">
        <w:t>15</w:t>
      </w:r>
      <w:r w:rsidRPr="00183EE1">
        <w:fldChar w:fldCharType="end"/>
      </w:r>
      <w:r w:rsidRPr="00943B07">
        <w:t xml:space="preserve">.  </w:t>
      </w:r>
    </w:p>
  </w:footnote>
  <w:footnote w:id="79">
    <w:p w:rsidR="003E6A33" w:rsidRPr="00943B07" w:rsidP="00B70C4C">
      <w:pPr>
        <w:pStyle w:val="FootnoteText"/>
        <w:rPr>
          <w:rFonts w:eastAsiaTheme="minorHAnsi"/>
        </w:rPr>
      </w:pPr>
      <w:r w:rsidRPr="00943B07">
        <w:rPr>
          <w:rStyle w:val="FootnoteReference"/>
        </w:rPr>
        <w:footnoteRef/>
      </w:r>
      <w:r w:rsidRPr="00943B07">
        <w:t xml:space="preserve"> </w:t>
      </w:r>
      <w:r w:rsidRPr="00943B07">
        <w:rPr>
          <w:i/>
        </w:rPr>
        <w:t>HI-EMA Report</w:t>
      </w:r>
      <w:r w:rsidRPr="00943B07">
        <w:t xml:space="preserve"> at 8.  The </w:t>
      </w:r>
      <w:r w:rsidRPr="00943B07">
        <w:rPr>
          <w:i/>
        </w:rPr>
        <w:t>HI-EMA Report</w:t>
      </w:r>
      <w:r w:rsidRPr="00943B07">
        <w:t xml:space="preserve"> finds that the ballistic missile alert checklist did not include a response protocol in the event of a false-ballistic missile message, although there was a cancel message, which stopped further ballistic missile messages.  </w:t>
      </w:r>
      <w:r w:rsidRPr="00943B07">
        <w:rPr>
          <w:i/>
        </w:rPr>
        <w:t>Id</w:t>
      </w:r>
      <w:r w:rsidRPr="00943B07">
        <w:t xml:space="preserve">.  The </w:t>
      </w:r>
      <w:r w:rsidRPr="00943B07">
        <w:rPr>
          <w:i/>
        </w:rPr>
        <w:t>HI-EMA Report</w:t>
      </w:r>
      <w:r w:rsidRPr="00943B07">
        <w:t xml:space="preserve"> further finds that the HI-EMA Preparedness Branch previously identified the need to revise the [ballistic missile alert] checklist to include a “Deactivation” section or “‘All Clear EAS message.’”  </w:t>
      </w:r>
      <w:r w:rsidRPr="00943B07">
        <w:rPr>
          <w:i/>
        </w:rPr>
        <w:t>Id</w:t>
      </w:r>
      <w:r w:rsidRPr="00943B07">
        <w:t xml:space="preserve">.  The </w:t>
      </w:r>
      <w:r w:rsidRPr="00943B07">
        <w:rPr>
          <w:i/>
        </w:rPr>
        <w:t>HI-EMA Report</w:t>
      </w:r>
      <w:r w:rsidRPr="00943B07">
        <w:t xml:space="preserve"> states: “Had the protocol [for sending an all clear message] been developed within the last 2 months [between November 29, 2017 and January 29, 2018, the </w:t>
      </w:r>
      <w:r w:rsidRPr="00943B07">
        <w:rPr>
          <w:i/>
        </w:rPr>
        <w:t>HI-EMA Report’s</w:t>
      </w:r>
      <w:r w:rsidRPr="00943B07">
        <w:t xml:space="preserve"> publication date], the delay in sending out an official notification over WEA/EAS that the alert was false would not have happened on January 13, 2018.”  On this latter point, the Bureau infers that the </w:t>
      </w:r>
      <w:r w:rsidRPr="00943B07">
        <w:rPr>
          <w:i/>
        </w:rPr>
        <w:t>HI-EMA Report</w:t>
      </w:r>
      <w:r w:rsidRPr="00943B07">
        <w:t xml:space="preserve"> reiterates that the establishment of a false alert response protocol in the ballistic missile alert checklist would have reduced any delay in issuing a CEM.  </w:t>
      </w:r>
      <w:r w:rsidRPr="00943B07">
        <w:rPr>
          <w:rFonts w:eastAsiaTheme="minorHAnsi"/>
        </w:rPr>
        <w:t xml:space="preserve">An “all clear” message, however, could also be used to notify the public of a ballistic missile interception without effect to Hawaii.  </w:t>
      </w:r>
      <w:r w:rsidRPr="00943B07">
        <w:rPr>
          <w:rFonts w:eastAsiaTheme="minorHAnsi"/>
          <w:i/>
        </w:rPr>
        <w:t>See Hawaii Preparedness Report</w:t>
      </w:r>
      <w:r w:rsidRPr="00943B07">
        <w:rPr>
          <w:rFonts w:eastAsiaTheme="minorHAnsi"/>
        </w:rPr>
        <w:t xml:space="preserve"> at 1.</w:t>
      </w:r>
    </w:p>
  </w:footnote>
  <w:footnote w:id="80">
    <w:p w:rsidR="003E6A33" w:rsidRPr="00943B07">
      <w:pPr>
        <w:pStyle w:val="FootnoteText"/>
      </w:pPr>
      <w:r w:rsidRPr="00943B07">
        <w:rPr>
          <w:rStyle w:val="FootnoteReference"/>
        </w:rPr>
        <w:footnoteRef/>
      </w:r>
      <w:r w:rsidRPr="00943B07">
        <w:t xml:space="preserve"> </w:t>
      </w:r>
      <w:r w:rsidRPr="00943B07">
        <w:rPr>
          <w:i/>
        </w:rPr>
        <w:t>HI-EMA Report</w:t>
      </w:r>
      <w:r w:rsidRPr="00943B07">
        <w:t xml:space="preserve"> at 9. </w:t>
      </w:r>
    </w:p>
  </w:footnote>
  <w:footnote w:id="81">
    <w:p w:rsidR="003E6A33" w:rsidRPr="00943B07" w:rsidP="00E9413C">
      <w:pPr>
        <w:pStyle w:val="FootnoteText"/>
      </w:pPr>
      <w:r w:rsidRPr="00943B07">
        <w:rPr>
          <w:rStyle w:val="FootnoteReference"/>
        </w:rPr>
        <w:footnoteRef/>
      </w:r>
      <w:r w:rsidRPr="00943B07">
        <w:t xml:space="preserve"> </w:t>
      </w:r>
      <w:r w:rsidRPr="00943B07">
        <w:rPr>
          <w:i/>
        </w:rPr>
        <w:t>Id</w:t>
      </w:r>
      <w:r w:rsidRPr="00943B07">
        <w:t xml:space="preserve">.  According to the </w:t>
      </w:r>
      <w:r w:rsidRPr="00943B07">
        <w:rPr>
          <w:i/>
        </w:rPr>
        <w:t>HI-EMA Report</w:t>
      </w:r>
      <w:r w:rsidRPr="00943B07">
        <w:t xml:space="preserve">, HI-EMA operations provided guidance to the State Warning Point in December that, among other things provided: (1) each shift will discuss the ballistic missile alert checklist at the beginning of each shift and (2) each shift “will at a minimum of twice a week take time to run the checklist with different [State Warning Point] staff members.”  </w:t>
      </w:r>
      <w:r w:rsidRPr="00943B07">
        <w:rPr>
          <w:i/>
        </w:rPr>
        <w:t>Id</w:t>
      </w:r>
      <w:r w:rsidRPr="00943B07">
        <w:t xml:space="preserve">.  </w:t>
      </w:r>
    </w:p>
  </w:footnote>
  <w:footnote w:id="82">
    <w:p w:rsidR="003E6A33" w:rsidRPr="00943B07" w:rsidP="00320F02">
      <w:pPr>
        <w:pStyle w:val="FootnoteText"/>
      </w:pPr>
      <w:r w:rsidRPr="00943B07">
        <w:rPr>
          <w:rStyle w:val="FootnoteReference"/>
        </w:rPr>
        <w:footnoteRef/>
      </w:r>
      <w:r w:rsidRPr="00943B07">
        <w:t xml:space="preserve"> To become a Public Alerting Authority, FEMA mandates completion of IS-247a. </w:t>
      </w:r>
      <w:r w:rsidRPr="00943B07">
        <w:rPr>
          <w:i/>
        </w:rPr>
        <w:t>See</w:t>
      </w:r>
      <w:r w:rsidRPr="00943B07">
        <w:t xml:space="preserve"> FEMA, </w:t>
      </w:r>
      <w:r w:rsidRPr="00943B07">
        <w:rPr>
          <w:lang w:val="en"/>
        </w:rPr>
        <w:t>IS-247.A: Integrated Public Alert and Warning System (IPAWS)</w:t>
      </w:r>
      <w:r w:rsidRPr="00943B07">
        <w:t>, https://training.fema.gov/is/courseoverview.aspx?code=IS-247.a (last visited on Mar. 28, 2018).    </w:t>
      </w:r>
    </w:p>
  </w:footnote>
  <w:footnote w:id="83">
    <w:p w:rsidR="003E6A33" w:rsidRPr="00943B07" w:rsidP="00320F02">
      <w:pPr>
        <w:pStyle w:val="FootnoteText"/>
      </w:pPr>
      <w:r w:rsidRPr="00943B07">
        <w:rPr>
          <w:rStyle w:val="FootnoteReference"/>
        </w:rPr>
        <w:footnoteRef/>
      </w:r>
      <w:r w:rsidRPr="00943B07">
        <w:t xml:space="preserve"> </w:t>
      </w:r>
      <w:r w:rsidRPr="00943B07">
        <w:rPr>
          <w:i/>
        </w:rPr>
        <w:t xml:space="preserve">HI-EMA Report </w:t>
      </w:r>
      <w:r w:rsidRPr="00943B07">
        <w:t xml:space="preserve">at 9. </w:t>
      </w:r>
      <w:r>
        <w:t xml:space="preserve"> </w:t>
      </w:r>
      <w:r w:rsidRPr="00943B07">
        <w:t xml:space="preserve">“This course provides basic information on the IPAWS.  The goal of this course is to provide authorized public safety officials with: increased awareness of the benefits of using IPAWS for effective public warnings; skills to draft more appropriate, effective, and accessible warning messages; and best practices in the effective use of common alerting protocol to reach all members of their communities.”  </w:t>
      </w:r>
      <w:r w:rsidRPr="00943B07">
        <w:rPr>
          <w:i/>
        </w:rPr>
        <w:t>See</w:t>
      </w:r>
      <w:r w:rsidRPr="00943B07">
        <w:t xml:space="preserve"> FEMA, IS</w:t>
      </w:r>
      <w:r>
        <w:t>-</w:t>
      </w:r>
      <w:r w:rsidRPr="00943B07">
        <w:t>247</w:t>
      </w:r>
      <w:r>
        <w:t>.</w:t>
      </w:r>
      <w:r w:rsidRPr="00943B07">
        <w:t>A, Integrated Public Alert and Warning System (IPAWS), https://training.fema.gov/is/courseoverview.aspx?code=IS-247.a</w:t>
      </w:r>
      <w:r w:rsidRPr="00943B07">
        <w:rPr>
          <w:i/>
        </w:rPr>
        <w:t xml:space="preserve"> </w:t>
      </w:r>
      <w:r w:rsidRPr="00943B07">
        <w:t>(last visited Mar. 28, 2018).</w:t>
      </w:r>
    </w:p>
  </w:footnote>
  <w:footnote w:id="84">
    <w:p w:rsidR="003E6A33" w:rsidRPr="00943B07" w:rsidP="00E9413C">
      <w:pPr>
        <w:pStyle w:val="FootnoteText"/>
      </w:pPr>
      <w:r w:rsidRPr="00943B07">
        <w:rPr>
          <w:rStyle w:val="FootnoteReference"/>
        </w:rPr>
        <w:footnoteRef/>
      </w:r>
      <w:r w:rsidRPr="00943B07">
        <w:t xml:space="preserve"> </w:t>
      </w:r>
      <w:r w:rsidRPr="00943B07">
        <w:rPr>
          <w:i/>
        </w:rPr>
        <w:t xml:space="preserve">HI-EMA Report </w:t>
      </w:r>
      <w:r w:rsidRPr="00943B07">
        <w:t xml:space="preserve">at 9.   </w:t>
      </w:r>
    </w:p>
  </w:footnote>
  <w:footnote w:id="85">
    <w:p w:rsidR="003E6A33" w:rsidRPr="00943B07" w:rsidP="00E9413C">
      <w:pPr>
        <w:pStyle w:val="FootnoteText"/>
      </w:pPr>
      <w:r w:rsidRPr="00943B07">
        <w:rPr>
          <w:rStyle w:val="FootnoteReference"/>
        </w:rPr>
        <w:footnoteRef/>
      </w:r>
      <w:r w:rsidRPr="00943B07">
        <w:t xml:space="preserve"> </w:t>
      </w:r>
      <w:r w:rsidRPr="00943B07">
        <w:rPr>
          <w:i/>
        </w:rPr>
        <w:t>Id.</w:t>
      </w:r>
    </w:p>
  </w:footnote>
  <w:footnote w:id="86">
    <w:p w:rsidR="003E6A33" w:rsidRPr="00943B07" w:rsidP="00E9413C">
      <w:pPr>
        <w:pStyle w:val="FootnoteText"/>
      </w:pPr>
      <w:r w:rsidRPr="00943B07">
        <w:rPr>
          <w:rStyle w:val="FootnoteReference"/>
        </w:rPr>
        <w:footnoteRef/>
      </w:r>
      <w:r w:rsidRPr="00943B07">
        <w:t xml:space="preserve"> </w:t>
      </w:r>
      <w:r w:rsidRPr="00943B07">
        <w:rPr>
          <w:i/>
        </w:rPr>
        <w:t>But see</w:t>
      </w:r>
      <w:r w:rsidRPr="00943B07">
        <w:t xml:space="preserve"> Kathy Goldgeier</w:t>
      </w:r>
      <w:r w:rsidRPr="00943B07">
        <w:rPr>
          <w:i/>
        </w:rPr>
        <w:t>, Why A False Emergency Alert Is Less Likely in Washington Than in Hawaii</w:t>
      </w:r>
      <w:r w:rsidRPr="00943B07">
        <w:t>, WAMU 88.5 American University Radio (Jan. 17, 2018), https://wamu.org/story/18/01/17/false-emergency-alert-harder-washington-hawaii/ (Washington D.C.’s Homeland Security and Emergency Management Agency makes use of prefabricated message templates for twenty unique emergency scenarios);</w:t>
      </w:r>
      <w:r w:rsidRPr="00943B07">
        <w:rPr>
          <w:i/>
        </w:rPr>
        <w:t xml:space="preserve"> </w:t>
      </w:r>
      <w:r w:rsidRPr="00943B07">
        <w:t xml:space="preserve">Thomas Novelly, </w:t>
      </w:r>
      <w:r w:rsidRPr="00943B07">
        <w:rPr>
          <w:i/>
        </w:rPr>
        <w:t>Could Hawaii’s Emergency Missile Message Mistake Happen in Kentucky? Maybe</w:t>
      </w:r>
      <w:r w:rsidRPr="00943B07">
        <w:t>, Louisville Courier Journal (Jan. 16, 2018), https://www.courier-journal.com/story/news/local/2018/01/16/could-hawaii-emergency-missile-message-mistake-happen-kentucky/1035958001/ (Kentucky Emergency Management makes use of prefabricated message templates for seven categories of emergencies).</w:t>
      </w:r>
      <w:r w:rsidRPr="00943B07">
        <w:rPr>
          <w:i/>
        </w:rPr>
        <w:t xml:space="preserve"> </w:t>
      </w:r>
    </w:p>
  </w:footnote>
  <w:footnote w:id="87">
    <w:p w:rsidR="003E6A33" w:rsidRPr="00943B07" w:rsidP="00E9413C">
      <w:pPr>
        <w:pStyle w:val="FootnoteText"/>
      </w:pPr>
      <w:r w:rsidRPr="00943B07">
        <w:rPr>
          <w:rStyle w:val="FootnoteReference"/>
        </w:rPr>
        <w:footnoteRef/>
      </w:r>
      <w:r w:rsidRPr="00943B07">
        <w:t xml:space="preserve"> Appendix B reflects an illustration of the drop down menu that HI-EMA updated after the false missile alert.  </w:t>
      </w:r>
    </w:p>
  </w:footnote>
  <w:footnote w:id="88">
    <w:p w:rsidR="003E6A33" w:rsidRPr="00943B07" w:rsidP="00E9413C">
      <w:pPr>
        <w:pStyle w:val="FootnoteText"/>
      </w:pPr>
      <w:r w:rsidRPr="00943B07">
        <w:rPr>
          <w:rStyle w:val="FootnoteReference"/>
        </w:rPr>
        <w:footnoteRef/>
      </w:r>
      <w:r w:rsidRPr="00943B07">
        <w:t xml:space="preserve"> This separation is most often achieved by having a client to choose which environment from their login terminal. One Alert Origination Software Provider enables test functionality by way of a dedicated geographic location identification code or by adding certain language to the alert message text. </w:t>
      </w:r>
    </w:p>
  </w:footnote>
  <w:footnote w:id="89">
    <w:p w:rsidR="003E6A33" w:rsidRPr="00943B07" w:rsidP="00E9413C">
      <w:pPr>
        <w:pStyle w:val="ParaNum"/>
        <w:numPr>
          <w:ilvl w:val="0"/>
          <w:numId w:val="0"/>
        </w:numPr>
        <w:rPr>
          <w:sz w:val="20"/>
        </w:rPr>
      </w:pPr>
      <w:r w:rsidRPr="00943B07">
        <w:rPr>
          <w:rStyle w:val="FootnoteReference"/>
        </w:rPr>
        <w:footnoteRef/>
      </w:r>
      <w:r w:rsidRPr="00943B07">
        <w:rPr>
          <w:sz w:val="20"/>
        </w:rPr>
        <w:t xml:space="preserve"> All alert origination software vendors the Bureau interviewed offered their clients a pause, or “speedbump,” at the end of the alert origination process to confirm whether they were sure that they wanted to send the message.  Some alert origination software displays message text to the user at time they confirm transmission, others, like HI-EMA’s software, do not.  All alert origination software vendors the Bureau interviewed conducted systems training with a designated client representative who was then responsible for training other client employees.  Likewise, all alert origination software vendors the Bureau interviewed provided clients the ability to assign individualized login credentials.  Two alert origination software vendors pointed out, however, that they make this functionality optional, and their clients can choose not to utilize it.  Similarly, all alert origination software vendors that the Bureau interviewed, including HI-EMA’s vendor, offer the ability</w:t>
      </w:r>
      <w:r w:rsidRPr="00943B07">
        <w:rPr>
          <w:i/>
          <w:sz w:val="20"/>
        </w:rPr>
        <w:t xml:space="preserve"> </w:t>
      </w:r>
      <w:r w:rsidRPr="00943B07">
        <w:rPr>
          <w:sz w:val="20"/>
        </w:rPr>
        <w:t xml:space="preserve">to cancel an erroneously sent alert with a single click of a button that is clearly presented upon alert transmission.   </w:t>
      </w:r>
    </w:p>
  </w:footnote>
  <w:footnote w:id="90">
    <w:p w:rsidR="003E6A33" w:rsidRPr="00943B07">
      <w:pPr>
        <w:pStyle w:val="FootnoteText"/>
      </w:pPr>
      <w:r w:rsidRPr="00943B07">
        <w:rPr>
          <w:rStyle w:val="FootnoteReference"/>
        </w:rPr>
        <w:footnoteRef/>
      </w:r>
      <w:r w:rsidRPr="00943B07">
        <w:t xml:space="preserve"> The </w:t>
      </w:r>
      <w:r w:rsidRPr="00943B07">
        <w:rPr>
          <w:i/>
        </w:rPr>
        <w:t>Hawaii Preparedness Report</w:t>
      </w:r>
      <w:r w:rsidRPr="00943B07">
        <w:t xml:space="preserve"> noted that the State Warning Point’s “established [b]allistic [m]issile [a]lert [c]hecklist did not have a step to notify the HI-EMA Public Information Officer (PIO).  The missing key step to notify the PIO contributed to the delay in rapidly informing the media and public.”  </w:t>
      </w:r>
      <w:r w:rsidRPr="00943B07">
        <w:rPr>
          <w:i/>
        </w:rPr>
        <w:t xml:space="preserve">Hawaii </w:t>
      </w:r>
      <w:r w:rsidRPr="0079576F">
        <w:rPr>
          <w:i/>
        </w:rPr>
        <w:t>Preparedness</w:t>
      </w:r>
      <w:r w:rsidRPr="00943B07">
        <w:rPr>
          <w:i/>
        </w:rPr>
        <w:t xml:space="preserve"> Report</w:t>
      </w:r>
      <w:r w:rsidRPr="00943B07">
        <w:t xml:space="preserve"> at 2. </w:t>
      </w:r>
    </w:p>
  </w:footnote>
  <w:footnote w:id="91">
    <w:p w:rsidR="003E6A33" w:rsidRPr="00943B07" w:rsidP="0090049F">
      <w:pPr>
        <w:pStyle w:val="FootnoteText"/>
      </w:pPr>
      <w:r w:rsidRPr="00943B07">
        <w:rPr>
          <w:rStyle w:val="FootnoteReference"/>
        </w:rPr>
        <w:footnoteRef/>
      </w:r>
      <w:r w:rsidRPr="00943B07">
        <w:t xml:space="preserve"> Hawaii State Emergency Alert System Plan Attachment E (Jun. 12, 2003) (amended Mar. 31, 2004 and Oct. 26, 2006)</w:t>
      </w:r>
      <w:r>
        <w:t>,</w:t>
      </w:r>
      <w:r w:rsidRPr="00943B07">
        <w:t xml:space="preserve"> https://dod.hawaii.gov/hiema/files/2016/03/2003-EAS-plan-with-Change-2.pdf.  Hawaii’s State EAS Plan provides for manual forwarding of alerts associated with certain other EAS codes not used here.</w:t>
      </w:r>
    </w:p>
  </w:footnote>
  <w:footnote w:id="92">
    <w:p w:rsidR="003E6A33" w:rsidRPr="00943B07">
      <w:pPr>
        <w:pStyle w:val="FootnoteText"/>
      </w:pPr>
      <w:r w:rsidRPr="00943B07">
        <w:rPr>
          <w:rStyle w:val="FootnoteReference"/>
        </w:rPr>
        <w:footnoteRef/>
      </w:r>
      <w:r w:rsidRPr="00943B07">
        <w:t xml:space="preserve"> The Hawaii SECC continues to survey the extent EAS Participants (</w:t>
      </w:r>
      <w:r w:rsidRPr="00943B07">
        <w:rPr>
          <w:i/>
        </w:rPr>
        <w:t>e.g.,</w:t>
      </w:r>
      <w:r w:rsidRPr="00943B07">
        <w:t xml:space="preserve"> radio, TV, cable providers) received and delivered the CDW and CEM on January 13, 2018.  In a summary of the Hawaii SECC’s initial findings, as relayed to the Bureau, the Hawaii SECC noted that 31 out of 61 survey respondents relayed the CDW and/or CEM.  </w:t>
      </w:r>
      <w:r w:rsidRPr="00943B07">
        <w:rPr>
          <w:i/>
        </w:rPr>
        <w:t>See</w:t>
      </w:r>
      <w:r w:rsidRPr="00943B07">
        <w:t xml:space="preserve"> Email from Courtney Harrington, Chair, Hawaii SECC, to John A. Evanoff, Attorney-Advisor, Policy and Licensing Division, Public Safety and Homeland Security Bureau (Mar. 14, 2018).  The Hawaii SECC noted that 30 respondents did not relay the CDW and CEM because they did not set their equipment to auto-forward CDWs and CEMs, and thus delivered neither message to the public.  </w:t>
      </w:r>
      <w:r w:rsidRPr="00943B07">
        <w:rPr>
          <w:i/>
        </w:rPr>
        <w:t>Id</w:t>
      </w:r>
      <w:r w:rsidRPr="00943B07">
        <w:t xml:space="preserve">.  The Hawaii SECC found that EAS encoder and decoder configurations were set to “Log Only” for these events.  </w:t>
      </w:r>
      <w:r w:rsidRPr="00943B07">
        <w:rPr>
          <w:i/>
        </w:rPr>
        <w:t>Id</w:t>
      </w:r>
      <w:r w:rsidRPr="00943B07">
        <w:t xml:space="preserve">.  Further, the Hawaii SECC observed that the stations that did not forward the CDW and CEM automatically did not manually forward the CDW and CEM because they were unmanned at the time.  </w:t>
      </w:r>
      <w:r w:rsidRPr="00943B07">
        <w:rPr>
          <w:i/>
        </w:rPr>
        <w:t>Id</w:t>
      </w:r>
      <w:r w:rsidRPr="00943B07">
        <w:t xml:space="preserve">.  The Hawaii SECC noted that survey respondents confirmed that the CDW and CEM event codes have now been added to auto-forward.  </w:t>
      </w:r>
      <w:r w:rsidRPr="00943B07">
        <w:rPr>
          <w:i/>
        </w:rPr>
        <w:t>Id</w:t>
      </w:r>
      <w:r w:rsidRPr="00943B07">
        <w:t xml:space="preserve">.  </w:t>
      </w:r>
    </w:p>
  </w:footnote>
  <w:footnote w:id="93">
    <w:p w:rsidR="003E6A33" w:rsidRPr="00943B07">
      <w:pPr>
        <w:pStyle w:val="FootnoteText"/>
      </w:pPr>
      <w:r w:rsidRPr="00943B07">
        <w:rPr>
          <w:rStyle w:val="FootnoteReference"/>
        </w:rPr>
        <w:footnoteRef/>
      </w:r>
      <w:r w:rsidRPr="00943B07">
        <w:t xml:space="preserve"> Spectrum Cable, however, did not forward the CDW (false alert) because the encoder/decoders in its headends were not programmed to auto-forward a CDW.  Spectrum did auto-forward the CEM (the all clear) to its entire service area except for Kauai.  The reason that Spectrum did not auto-forward the CEM to Kauai is because its service on that island is analog. Thus, in the case of Kauai, Spectrum did not deliver the CDW or CEM.</w:t>
      </w:r>
    </w:p>
  </w:footnote>
  <w:footnote w:id="94">
    <w:p w:rsidR="003E6A33" w:rsidRPr="00943B07">
      <w:pPr>
        <w:pStyle w:val="FootnoteText"/>
      </w:pPr>
      <w:r w:rsidRPr="00943B07">
        <w:rPr>
          <w:rStyle w:val="FootnoteReference"/>
        </w:rPr>
        <w:footnoteRef/>
      </w:r>
      <w:r w:rsidRPr="00943B07">
        <w:t xml:space="preserve"> 47 CFR § 11.55(a)(1).</w:t>
      </w:r>
    </w:p>
  </w:footnote>
  <w:footnote w:id="95">
    <w:p w:rsidR="003E6A33" w:rsidRPr="00943B07" w:rsidP="00C25052">
      <w:pPr>
        <w:pStyle w:val="FootnoteText"/>
      </w:pPr>
      <w:r w:rsidRPr="00943B07">
        <w:rPr>
          <w:rStyle w:val="FootnoteReference"/>
        </w:rPr>
        <w:footnoteRef/>
      </w:r>
      <w:r w:rsidRPr="00943B07">
        <w:t xml:space="preserve"> This is consistent with FCC databases, the Disaster Information Report System (DIRS) and Network Outage Reporting System (NORS), which indicate that no provider reported a network outage in Hawaii on January 13, 2018.  </w:t>
      </w:r>
    </w:p>
  </w:footnote>
  <w:footnote w:id="96">
    <w:p w:rsidR="003E6A33" w:rsidRPr="00943B07">
      <w:pPr>
        <w:pStyle w:val="FootnoteText"/>
      </w:pPr>
      <w:r w:rsidRPr="00943B07">
        <w:rPr>
          <w:rStyle w:val="FootnoteReference"/>
        </w:rPr>
        <w:footnoteRef/>
      </w:r>
      <w:r w:rsidRPr="00943B07">
        <w:t xml:space="preserve"> According to the </w:t>
      </w:r>
      <w:r w:rsidRPr="00943B07">
        <w:rPr>
          <w:i/>
        </w:rPr>
        <w:t>Hawaii Preparedness Report</w:t>
      </w:r>
      <w:r w:rsidRPr="00943B07">
        <w:t xml:space="preserve"> “[m]any cellular/wireless phones did not receive a wireless emergency alert (WEA) on January 13, 2018.”  </w:t>
      </w:r>
      <w:r w:rsidRPr="00943B07">
        <w:rPr>
          <w:i/>
        </w:rPr>
        <w:t>Hawaii Preparedness Report</w:t>
      </w:r>
      <w:r w:rsidRPr="00943B07">
        <w:t xml:space="preserve"> at 16.  The </w:t>
      </w:r>
      <w:r w:rsidRPr="00943B07">
        <w:rPr>
          <w:i/>
        </w:rPr>
        <w:t>Hawaii Preparedness Report</w:t>
      </w:r>
      <w:r w:rsidRPr="00943B07">
        <w:t xml:space="preserve"> recommends coordinating with the wireless providers to determine what actions can be taken to eliminate or minimize non-receipt of WEAs.  </w:t>
      </w:r>
      <w:r w:rsidRPr="00943B07">
        <w:rPr>
          <w:i/>
        </w:rPr>
        <w:t>Id</w:t>
      </w:r>
      <w:r w:rsidRPr="00943B07">
        <w:t>.</w:t>
      </w:r>
    </w:p>
  </w:footnote>
  <w:footnote w:id="97">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w:t>
      </w:r>
      <w:r w:rsidRPr="00943B07">
        <w:rPr>
          <w:i/>
        </w:rPr>
        <w:t>e.g.</w:t>
      </w:r>
      <w:r w:rsidRPr="00943B07">
        <w:t xml:space="preserve">, HNN Staff, </w:t>
      </w:r>
      <w:r w:rsidRPr="00943B07">
        <w:rPr>
          <w:i/>
        </w:rPr>
        <w:t>If You Didn’t Get the False Alert about an Inbound Missile, This Might be Why</w:t>
      </w:r>
      <w:r w:rsidRPr="00943B07">
        <w:t>, Hawaii News Now (Jan. 15, 2018), http://www.hawaiinewsnow.com/story/37269695/if-you-didnt-get-the-false-missile-alert-this-might-be-why.</w:t>
      </w:r>
    </w:p>
  </w:footnote>
  <w:footnote w:id="98">
    <w:p w:rsidR="003E6A33" w:rsidRPr="00943B07" w:rsidP="0047623C">
      <w:pPr>
        <w:spacing w:after="120"/>
        <w:rPr>
          <w:sz w:val="20"/>
          <w:shd w:val="clear" w:color="auto" w:fill="FFFFFF"/>
        </w:rPr>
      </w:pPr>
      <w:r w:rsidRPr="00943B07">
        <w:rPr>
          <w:rStyle w:val="FootnoteReference"/>
        </w:rPr>
        <w:footnoteRef/>
      </w:r>
      <w:r w:rsidRPr="00943B07">
        <w:rPr>
          <w:sz w:val="20"/>
        </w:rPr>
        <w:t xml:space="preserve"> Chas Danner, </w:t>
      </w:r>
      <w:r w:rsidRPr="00943B07">
        <w:rPr>
          <w:i/>
          <w:sz w:val="20"/>
        </w:rPr>
        <w:t>The Frightening Lessons From Hawaii’s False Missile Alert</w:t>
      </w:r>
      <w:r w:rsidRPr="00943B07">
        <w:rPr>
          <w:sz w:val="20"/>
        </w:rPr>
        <w:t xml:space="preserve">, N.Y. Mag. (Jan. 15, 2018), http://nymag.com/daily/intelligencer/2018/01/the-frightening-lessons-from-hawaiis-false-missile-alert.html (suggesting that many consumers did not receive the notification and “officials aren’t sure why . . . [and] “it seems likely that if the threat had been real, the system still wouldn’t have worked as intended”); </w:t>
      </w:r>
      <w:r w:rsidRPr="00943B07">
        <w:rPr>
          <w:sz w:val="20"/>
          <w:shd w:val="clear" w:color="auto" w:fill="FFFFFF"/>
        </w:rPr>
        <w:t xml:space="preserve">Jennifer Sinco Kelleher &amp; Brian Melley, </w:t>
      </w:r>
      <w:r w:rsidRPr="00943B07">
        <w:rPr>
          <w:i/>
          <w:sz w:val="20"/>
          <w:shd w:val="clear" w:color="auto" w:fill="FFFFFF"/>
        </w:rPr>
        <w:t>Missile-alert mistake feeds doubts about a real emergency</w:t>
      </w:r>
      <w:r w:rsidRPr="00943B07">
        <w:rPr>
          <w:sz w:val="20"/>
          <w:shd w:val="clear" w:color="auto" w:fill="FFFFFF"/>
        </w:rPr>
        <w:t xml:space="preserve">, Haw. Trib. (Jan. 15, 2018), http://www.hawaiitribune-herald.com/2018/01/15/hawaii-news/missile-alert-mistake-feeds-doubts-about-a-real-emergency/ (explaining that consumers have become skeptic in “the government’s ability to keep them informed in a real emergency” and will likely think twice before taking action on future advisories). </w:t>
      </w:r>
      <w:r w:rsidRPr="00943B07">
        <w:rPr>
          <w:sz w:val="20"/>
        </w:rPr>
        <w:t xml:space="preserve"> </w:t>
      </w:r>
    </w:p>
  </w:footnote>
  <w:footnote w:id="99">
    <w:p w:rsidR="003E6A33" w:rsidRPr="00943B07" w:rsidP="00BF46DC">
      <w:pPr>
        <w:pStyle w:val="FootnoteText"/>
      </w:pPr>
      <w:r w:rsidRPr="00943B07">
        <w:rPr>
          <w:rStyle w:val="FootnoteReference"/>
        </w:rPr>
        <w:footnoteRef/>
      </w:r>
      <w:r w:rsidRPr="00943B07">
        <w:t xml:space="preserve"> </w:t>
      </w:r>
      <w:r w:rsidRPr="00943B07">
        <w:rPr>
          <w:i/>
        </w:rPr>
        <w:t>Hawaii Preparedness Report</w:t>
      </w:r>
      <w:r w:rsidRPr="00943B07">
        <w:t xml:space="preserve"> at 16.  In discussing recommendations external to HI-EMA, the </w:t>
      </w:r>
      <w:r w:rsidRPr="00943B07">
        <w:rPr>
          <w:i/>
        </w:rPr>
        <w:t>Hawaii Preparedness Report</w:t>
      </w:r>
      <w:r w:rsidRPr="00943B07">
        <w:t xml:space="preserve"> recommends that the Hawaii SECC help in (1) identifying the primary means of electronic communications and/or being used in remote areas of the state to determine the fastest and most effective methods to expand alerts in these areas and (2) working with the wireless providers to expand coverage in these areas.  </w:t>
      </w:r>
      <w:r w:rsidRPr="00943B07">
        <w:rPr>
          <w:i/>
        </w:rPr>
        <w:t>Id</w:t>
      </w:r>
      <w:r w:rsidRPr="00943B07">
        <w:t>.</w:t>
      </w:r>
      <w:r w:rsidRPr="00943B07">
        <w:rPr>
          <w:highlight w:val="yellow"/>
        </w:rPr>
        <w:t xml:space="preserve"> </w:t>
      </w:r>
    </w:p>
  </w:footnote>
  <w:footnote w:id="100">
    <w:p w:rsidR="003E6A33" w:rsidRPr="00943B07" w:rsidP="0047623C">
      <w:pPr>
        <w:pStyle w:val="FootnoteText"/>
      </w:pPr>
      <w:r w:rsidRPr="00943B07">
        <w:rPr>
          <w:rStyle w:val="FootnoteReference"/>
        </w:rPr>
        <w:footnoteRef/>
      </w:r>
      <w:r w:rsidRPr="00943B07">
        <w:t xml:space="preserve"> </w:t>
      </w:r>
      <w:r w:rsidRPr="00943B07">
        <w:rPr>
          <w:i/>
        </w:rPr>
        <w:t>See supra</w:t>
      </w:r>
      <w:r w:rsidRPr="00943B07">
        <w:t xml:space="preserve"> note </w:t>
      </w:r>
      <w:r w:rsidRPr="00183EE1">
        <w:fldChar w:fldCharType="begin"/>
      </w:r>
      <w:r w:rsidRPr="00943B07">
        <w:instrText xml:space="preserve"> NOTEREF _Ref506561397 \h  \* MERGEFORMAT </w:instrText>
      </w:r>
      <w:r w:rsidRPr="00183EE1">
        <w:fldChar w:fldCharType="separate"/>
      </w:r>
      <w:r w:rsidR="00520284">
        <w:t>28</w:t>
      </w:r>
      <w:r w:rsidRPr="00183EE1">
        <w:fldChar w:fldCharType="end"/>
      </w:r>
      <w:r w:rsidRPr="00943B07">
        <w:t>.</w:t>
      </w:r>
    </w:p>
  </w:footnote>
  <w:footnote w:id="101">
    <w:p w:rsidR="003E6A33" w:rsidRPr="00943B07" w:rsidP="00E9413C">
      <w:pPr>
        <w:pStyle w:val="FootnoteText"/>
      </w:pPr>
      <w:r w:rsidRPr="00943B07">
        <w:rPr>
          <w:rStyle w:val="FootnoteReference"/>
        </w:rPr>
        <w:footnoteRef/>
      </w:r>
      <w:r w:rsidRPr="00943B07">
        <w:t xml:space="preserve"> Under the Commission’s rules, Participating CMS Providers in part are required to inform their subscribers that they may not offer WEA service in the entirety of their geographic service area, or on all mobile devices that they offer at the point of sale.  47 CFR § 10.240.  The four nationwide providers provide a list of WEA-enabled devices on their websites.  </w:t>
      </w:r>
      <w:r w:rsidRPr="00943B07">
        <w:rPr>
          <w:i/>
        </w:rPr>
        <w:t>See</w:t>
      </w:r>
      <w:r w:rsidRPr="00943B07">
        <w:t xml:space="preserve"> T-Mobile, WEA Device Lists, https://www.t-mobile.com/devices/wea-devices</w:t>
      </w:r>
      <w:r w:rsidRPr="00943B07">
        <w:rPr>
          <w:rStyle w:val="Hyperlink"/>
          <w:color w:val="auto"/>
          <w:u w:val="none"/>
        </w:rPr>
        <w:t xml:space="preserve"> (last visited Mar. 28, 2018)</w:t>
      </w:r>
      <w:r w:rsidRPr="00943B07">
        <w:t>; AT&amp;T, Wireless Emergency Alerts, https://www.att.com/esupport/article.html#!/wireless/KM1009041</w:t>
      </w:r>
      <w:r w:rsidRPr="00943B07">
        <w:rPr>
          <w:rStyle w:val="Hyperlink"/>
          <w:color w:val="auto"/>
          <w:u w:val="none"/>
        </w:rPr>
        <w:t>(last visited Mar. 28, 2018)</w:t>
      </w:r>
      <w:r w:rsidRPr="00943B07">
        <w:t>; Verizon, Wireless Emergency Alert Compatible Devices, https://www.verizonwireless.com/support/wireless-emergency-alerts-compatible-devices/</w:t>
      </w:r>
      <w:r w:rsidRPr="00943B07">
        <w:rPr>
          <w:rStyle w:val="Hyperlink"/>
          <w:color w:val="auto"/>
          <w:u w:val="none"/>
        </w:rPr>
        <w:t xml:space="preserve"> (last visited Mar. 28, 2018)</w:t>
      </w:r>
      <w:r w:rsidRPr="00943B07">
        <w:t>; Sprint, Learn More about Wireless Emergency Alerts and How They Work, https://www.sprint.com/en/support/solutions/device/learn-more-about-wireless-emergency-alerts-and-how-they-work.html</w:t>
      </w:r>
      <w:r w:rsidRPr="00943B07">
        <w:rPr>
          <w:rStyle w:val="Hyperlink"/>
          <w:color w:val="auto"/>
          <w:u w:val="none"/>
        </w:rPr>
        <w:t xml:space="preserve"> (last visited Mar. 28, 2018)</w:t>
      </w:r>
      <w:r w:rsidRPr="00943B07">
        <w:t>.</w:t>
      </w:r>
    </w:p>
  </w:footnote>
  <w:footnote w:id="102">
    <w:p w:rsidR="003E6A33" w:rsidRPr="00943B07" w:rsidP="00E9413C">
      <w:pPr>
        <w:pStyle w:val="FootnoteText"/>
      </w:pPr>
      <w:r w:rsidRPr="00943B07">
        <w:rPr>
          <w:rStyle w:val="FootnoteReference"/>
        </w:rPr>
        <w:footnoteRef/>
      </w:r>
      <w:r w:rsidRPr="00943B07">
        <w:t xml:space="preserve"> Additionally, FCC staff reviewed internal Commission coverage maps for the four major wireless providers in the Hawaii archipelago.  In reviewing these coverage maps, AT&amp;T, Sprint, T-Mobile, and Verizon appear to provide coverage throughout Hawaii but offer weak to no signal coverage in interior parts of the archipelago, including some State Parks and remote mountainous areas.  </w:t>
      </w:r>
    </w:p>
  </w:footnote>
  <w:footnote w:id="103">
    <w:p w:rsidR="003E6A33" w:rsidRPr="00943B07" w:rsidP="00E9413C">
      <w:pPr>
        <w:pStyle w:val="FootnoteText"/>
      </w:pPr>
      <w:r w:rsidRPr="00943B07">
        <w:rPr>
          <w:rStyle w:val="FootnoteReference"/>
        </w:rPr>
        <w:footnoteRef/>
      </w:r>
      <w:r w:rsidRPr="00943B07">
        <w:t xml:space="preserve"> </w:t>
      </w:r>
      <w:r w:rsidRPr="00943B07">
        <w:rPr>
          <w:i/>
        </w:rPr>
        <w:t>HI-EMA Report</w:t>
      </w:r>
      <w:r w:rsidRPr="00943B07">
        <w:t xml:space="preserve"> at 4 and 8.</w:t>
      </w:r>
    </w:p>
  </w:footnote>
  <w:footnote w:id="104">
    <w:p w:rsidR="003E6A33" w:rsidRPr="00943B07" w:rsidP="00E9413C">
      <w:pPr>
        <w:pStyle w:val="FootnoteText"/>
      </w:pPr>
      <w:r w:rsidRPr="00943B07">
        <w:rPr>
          <w:rStyle w:val="FootnoteReference"/>
        </w:rPr>
        <w:footnoteRef/>
      </w:r>
      <w:r w:rsidRPr="00943B07">
        <w:t xml:space="preserve"> </w:t>
      </w:r>
      <w:r w:rsidRPr="00943B07">
        <w:rPr>
          <w:i/>
        </w:rPr>
        <w:t xml:space="preserve">See </w:t>
      </w:r>
      <w:r w:rsidRPr="00943B07">
        <w:t>Alliance for Telecommunications Industry Solutions, Cell Broadcast Entity (CBE) to Cell Broadcast Center (CBC) Interface Specification, Revision 2, at 4 (ATIS-0700008.v002); Federal Communications Commission Commercial Mobile Service Alert Advisory Committee (CMSAAC), PMG-0035 Commercial Mobile Alert Service Architecture and Requirements</w:t>
      </w:r>
      <w:r w:rsidRPr="00943B07">
        <w:rPr>
          <w:i/>
        </w:rPr>
        <w:t xml:space="preserve"> </w:t>
      </w:r>
      <w:r w:rsidRPr="00943B07">
        <w:t>at 57 (2007) (stating that the interval and frequency of transmission of WEA alerts is based upon balancing the capabilities of the wireless providers’ specified delivery technology and various factors).</w:t>
      </w:r>
    </w:p>
  </w:footnote>
  <w:footnote w:id="105">
    <w:p w:rsidR="003E6A33" w:rsidRPr="00943B07" w:rsidP="00E9413C">
      <w:pPr>
        <w:pStyle w:val="FootnoteText"/>
      </w:pPr>
      <w:r w:rsidRPr="00943B07">
        <w:rPr>
          <w:rStyle w:val="FootnoteReference"/>
        </w:rPr>
        <w:footnoteRef/>
      </w:r>
      <w:r w:rsidRPr="00943B07">
        <w:t xml:space="preserve"> Consumers have the right to opt out of receiving Imminent Threat Alerts and AMBER Alerts, but they are required to receive alerts from the President.  </w:t>
      </w:r>
      <w:r w:rsidRPr="00943B07">
        <w:rPr>
          <w:i/>
        </w:rPr>
        <w:t xml:space="preserve">See </w:t>
      </w:r>
      <w:r w:rsidRPr="00943B07">
        <w:t>47 CFR § 10.280.</w:t>
      </w:r>
    </w:p>
  </w:footnote>
  <w:footnote w:id="106">
    <w:p w:rsidR="003E6A33" w:rsidRPr="00943B07" w:rsidP="00A66BA8">
      <w:pPr>
        <w:pStyle w:val="FootnoteText"/>
      </w:pPr>
      <w:r w:rsidRPr="00943B07">
        <w:rPr>
          <w:rStyle w:val="FootnoteReference"/>
        </w:rPr>
        <w:footnoteRef/>
      </w:r>
      <w:r w:rsidRPr="00943B07">
        <w:t xml:space="preserve"> In a letter provided to Bureau staff by the Hawaii SECC, AT&amp;T noted that the ability of a mobile device to receive a particular WEA message depends on many factors outside AT&amp;T’s control.  </w:t>
      </w:r>
      <w:r w:rsidRPr="00943B07">
        <w:rPr>
          <w:i/>
        </w:rPr>
        <w:t>See</w:t>
      </w:r>
      <w:r w:rsidRPr="00943B07">
        <w:t xml:space="preserve"> Letter from Peter White, Assistant Vice President, Global Public Policy to Richard Rapoza, Public Information Officer, HI-EMA and Courtney Harrington, Chair, Hawaii SECC (Jan. 29, 2018) (summarizing meeting between AT&amp;T, HI-EMA and Hawaii SECC) attached to Email from Courtney Harrington, Chair, Hawaii SECC to Peter White, Assistant Vice President, Global Public Policy, AT&amp;T (Mar. 16, 2018) (on file with John A. Evanoff, Attorney-Advisor, Policy and Licensing Division, Public Safety and Homeland Security Bureau).  Such factors include (1) whether a mobile device can receive WEA messages; (2) whether the mobile device falls within the radio coverage of a cell site transmitting a WEA message; (3) </w:t>
      </w:r>
      <w:bookmarkStart w:id="168" w:name="_Hlk510195362"/>
      <w:r>
        <w:t xml:space="preserve">whether </w:t>
      </w:r>
      <w:r w:rsidRPr="007C2107">
        <w:t>a handset is being served by a 3G cell site</w:t>
      </w:r>
      <w:r>
        <w:t xml:space="preserve"> </w:t>
      </w:r>
      <w:r w:rsidRPr="007C2107">
        <w:t xml:space="preserve">during a voice call or data session </w:t>
      </w:r>
      <w:r>
        <w:t xml:space="preserve">(in which case a WEA message would </w:t>
      </w:r>
      <w:r w:rsidRPr="007C2107">
        <w:t>not be received until the voice or data session is ended</w:t>
      </w:r>
      <w:r>
        <w:t xml:space="preserve">); </w:t>
      </w:r>
      <w:bookmarkEnd w:id="168"/>
      <w:r>
        <w:t>and (4) </w:t>
      </w:r>
      <w:r w:rsidRPr="00943B07">
        <w:t xml:space="preserve">whether the device remains connected to AT&amp;T’s network (for example, mobile devices connected to WiFi only with no connection to the AT&amp;T network, would not receive a WEA message until that device re-establishes a network connection to AT&amp;T’s network).  </w:t>
      </w:r>
      <w:r w:rsidRPr="00943B07">
        <w:rPr>
          <w:i/>
        </w:rPr>
        <w:t>Id</w:t>
      </w:r>
      <w:r w:rsidRPr="00943B07">
        <w:t xml:space="preserve">. at 2-3. </w:t>
      </w:r>
    </w:p>
  </w:footnote>
  <w:footnote w:id="107">
    <w:p w:rsidR="003E6A33" w:rsidRPr="00943B07" w:rsidP="001034FF">
      <w:pPr>
        <w:pStyle w:val="FootnoteText"/>
      </w:pPr>
      <w:r w:rsidRPr="00943B07">
        <w:rPr>
          <w:rStyle w:val="FootnoteReference"/>
        </w:rPr>
        <w:footnoteRef/>
      </w:r>
      <w:r w:rsidRPr="00943B07">
        <w:t xml:space="preserve"> Matthias Gafni and Rick Hurd, </w:t>
      </w:r>
      <w:r w:rsidRPr="00943B07">
        <w:rPr>
          <w:i/>
        </w:rPr>
        <w:t>Hawaii missile scare 911 audio: Police struggled to inform public alarm was false</w:t>
      </w:r>
      <w:r w:rsidRPr="00943B07">
        <w:t>, East Bay Times (Jan. 14, 2018 updated Jan. 15, 2018), https://www.eastbaytimes.com/2018/01/14/as-missile-warning-brought-chaos-police-dispatch-tried-to-relay-that-its-only-a-drill/.</w:t>
      </w:r>
    </w:p>
  </w:footnote>
  <w:footnote w:id="108">
    <w:p w:rsidR="003E6A33" w:rsidRPr="00943B07">
      <w:pPr>
        <w:pStyle w:val="FootnoteText"/>
      </w:pPr>
      <w:r w:rsidRPr="00943B07">
        <w:rPr>
          <w:rStyle w:val="FootnoteReference"/>
        </w:rPr>
        <w:footnoteRef/>
      </w:r>
      <w:r w:rsidRPr="00943B07">
        <w:t xml:space="preserve"> </w:t>
      </w:r>
      <w:r w:rsidRPr="00943B07">
        <w:rPr>
          <w:i/>
        </w:rPr>
        <w:t>Id</w:t>
      </w:r>
      <w:r w:rsidRPr="00943B07">
        <w:t>.</w:t>
      </w:r>
    </w:p>
  </w:footnote>
  <w:footnote w:id="109">
    <w:p w:rsidR="003E6A33" w:rsidRPr="00943B07" w:rsidP="00390616">
      <w:pPr>
        <w:pStyle w:val="FootnoteText"/>
      </w:pPr>
      <w:r w:rsidRPr="00943B07">
        <w:rPr>
          <w:rStyle w:val="FootnoteReference"/>
        </w:rPr>
        <w:footnoteRef/>
      </w:r>
      <w:r w:rsidRPr="00943B07">
        <w:t xml:space="preserve"> </w:t>
      </w:r>
      <w:r w:rsidRPr="00943B07">
        <w:rPr>
          <w:i/>
        </w:rPr>
        <w:t>Id</w:t>
      </w:r>
      <w:r w:rsidRPr="00943B07">
        <w:t xml:space="preserve">.  Chas Danner, </w:t>
      </w:r>
      <w:r w:rsidRPr="00943B07">
        <w:rPr>
          <w:i/>
        </w:rPr>
        <w:t>The Frightening Lessons From Hawaii’s False Missile Alert</w:t>
      </w:r>
      <w:r w:rsidRPr="00943B07">
        <w:t>, N.Y. Mag. (Jan. 15, 2018), http://nymag.com/daily/intelligencer/2018/01/the-frightening-lessons-from-hawaiis-false-missile-alert.html (reporting that Honolulu’s 911 system was quickly overwhelmed with 5,000 calls, only half went through).</w:t>
      </w:r>
      <w:r w:rsidRPr="00F6136E">
        <w:rPr>
          <w:rStyle w:val="Hyperlink"/>
          <w:color w:val="auto"/>
          <w:u w:val="none"/>
        </w:rPr>
        <w:t xml:space="preserve"> </w:t>
      </w:r>
    </w:p>
  </w:footnote>
  <w:footnote w:id="110">
    <w:p w:rsidR="003E6A33" w:rsidRPr="00943B07" w:rsidP="00612F5B">
      <w:pPr>
        <w:pStyle w:val="FootnoteText"/>
      </w:pPr>
      <w:r w:rsidRPr="00943B07">
        <w:rPr>
          <w:rStyle w:val="FootnoteReference"/>
        </w:rPr>
        <w:footnoteRef/>
      </w:r>
      <w:r w:rsidRPr="00943B07">
        <w:t xml:space="preserve"> Email from Courtney Taguba, Executive Director, Enhanced-911 Board, State of Hawaii Department of Accounting and General Services, to John A. Evanoff, Attorney-Advisor, Policy and Licensing Division, Public Safety &amp; Homeland Security Bureau (Feb. 26, 2018) (referencing 911 call volume on January 13, 2018, between the Hawaii false alert and alert correction).  In comparison, on the mornings of Saturday, January 20 and Saturday, January 27, 2018, between 8 a.m. (HST) and 10 a.m. (HST), local PSAPs received 345 and 261 911 calls, respectively. </w:t>
      </w:r>
      <w:r>
        <w:t xml:space="preserve"> </w:t>
      </w:r>
      <w:r w:rsidRPr="00943B07">
        <w:rPr>
          <w:i/>
        </w:rPr>
        <w:t>Id</w:t>
      </w:r>
      <w:r w:rsidRPr="00943B07">
        <w:t xml:space="preserve">.  </w:t>
      </w:r>
    </w:p>
  </w:footnote>
  <w:footnote w:id="111">
    <w:p w:rsidR="003E6A33" w:rsidRPr="00943B07">
      <w:pPr>
        <w:pStyle w:val="FootnoteText"/>
        <w:rPr>
          <w:highlight w:val="yellow"/>
        </w:rPr>
      </w:pPr>
      <w:r w:rsidRPr="00943B07">
        <w:rPr>
          <w:rStyle w:val="FootnoteReference"/>
        </w:rPr>
        <w:footnoteRef/>
      </w:r>
      <w:r w:rsidRPr="00943B07">
        <w:t xml:space="preserve"> </w:t>
      </w:r>
      <w:r w:rsidRPr="00943B07">
        <w:rPr>
          <w:i/>
        </w:rPr>
        <w:t>Id.</w:t>
      </w:r>
    </w:p>
  </w:footnote>
  <w:footnote w:id="112">
    <w:p w:rsidR="003E6A33" w:rsidRPr="00943B07">
      <w:pPr>
        <w:pStyle w:val="FootnoteText"/>
      </w:pPr>
      <w:r w:rsidRPr="00943B07">
        <w:rPr>
          <w:rStyle w:val="FootnoteReference"/>
        </w:rPr>
        <w:footnoteRef/>
      </w:r>
      <w:r w:rsidRPr="00943B07">
        <w:t xml:space="preserve"> </w:t>
      </w:r>
      <w:r w:rsidRPr="00943B07">
        <w:rPr>
          <w:i/>
        </w:rPr>
        <w:t>Id</w:t>
      </w:r>
      <w:r w:rsidRPr="00943B07">
        <w:t>.</w:t>
      </w:r>
    </w:p>
  </w:footnote>
  <w:footnote w:id="113">
    <w:p w:rsidR="003E6A33" w:rsidRPr="00943B07" w:rsidP="00D873D7">
      <w:pPr>
        <w:spacing w:after="120"/>
        <w:rPr>
          <w:sz w:val="20"/>
        </w:rPr>
      </w:pPr>
      <w:r w:rsidRPr="00943B07">
        <w:rPr>
          <w:rStyle w:val="FootnoteReference"/>
        </w:rPr>
        <w:footnoteRef/>
      </w:r>
      <w:r w:rsidRPr="00943B07">
        <w:rPr>
          <w:sz w:val="20"/>
        </w:rPr>
        <w:t xml:space="preserve"> </w:t>
      </w:r>
      <w:r w:rsidRPr="00943B07">
        <w:rPr>
          <w:i/>
          <w:sz w:val="20"/>
        </w:rPr>
        <w:t>Hawaii Preparedness Report</w:t>
      </w:r>
      <w:r w:rsidRPr="00943B07">
        <w:rPr>
          <w:sz w:val="20"/>
        </w:rPr>
        <w:t xml:space="preserve"> at 17.  </w:t>
      </w:r>
      <w:r w:rsidRPr="00943B07">
        <w:rPr>
          <w:i/>
          <w:sz w:val="20"/>
        </w:rPr>
        <w:t>See, e.g.</w:t>
      </w:r>
      <w:r>
        <w:rPr>
          <w:sz w:val="20"/>
        </w:rPr>
        <w:t>,</w:t>
      </w:r>
      <w:r w:rsidRPr="00943B07">
        <w:rPr>
          <w:sz w:val="20"/>
        </w:rPr>
        <w:t xml:space="preserve"> Marcel Honroe, </w:t>
      </w:r>
      <w:r w:rsidRPr="00943B07">
        <w:rPr>
          <w:bCs/>
          <w:i/>
          <w:sz w:val="20"/>
        </w:rPr>
        <w:t>Schatz: Missile-Alert System Is Still Hawaii’s Kuleana</w:t>
      </w:r>
      <w:r w:rsidRPr="00943B07">
        <w:rPr>
          <w:sz w:val="20"/>
        </w:rPr>
        <w:t xml:space="preserve">, Honolulu Civ. Beat (Jan. 17, 2018), http://www.civilbeat.org/2018/01/schatz-missile-alert-system-is-still-hawaiis-kuleana (explaining that “Mayors and governors and members of Congress were having trouble getting through to each other”). </w:t>
      </w:r>
    </w:p>
  </w:footnote>
  <w:footnote w:id="114">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U.S. Senate Committee on Commerce, Science &amp; Transportation, </w:t>
      </w:r>
      <w:r w:rsidRPr="00943B07">
        <w:rPr>
          <w:i/>
        </w:rPr>
        <w:t>This is Not a Drill: An Examination of Emergency Alert Systems</w:t>
      </w:r>
      <w:r w:rsidRPr="00943B07">
        <w:t xml:space="preserve"> at</w:t>
      </w:r>
      <w:r w:rsidRPr="00943B07">
        <w:rPr>
          <w:i/>
        </w:rPr>
        <w:t xml:space="preserve"> </w:t>
      </w:r>
      <w:r w:rsidRPr="00943B07">
        <w:t>1:13:55 (Jan. 25, 2018), https://www.commerce.senate.gov/public/index.cfm/2018/1/this-is-not-a-drill-an-examination-of-emergency-alert-systems (Senator Schatz observing that the phone lines became congested during this incident and the calls could not go through to HI-EMA).</w:t>
      </w:r>
    </w:p>
  </w:footnote>
  <w:footnote w:id="115">
    <w:p w:rsidR="003E6A33" w:rsidRPr="00943B07" w:rsidP="00CE32E1">
      <w:pPr>
        <w:pStyle w:val="FootnoteText"/>
      </w:pPr>
      <w:r w:rsidRPr="00943B07">
        <w:rPr>
          <w:rStyle w:val="FootnoteReference"/>
        </w:rPr>
        <w:footnoteRef/>
      </w:r>
      <w:r w:rsidRPr="00943B07">
        <w:t xml:space="preserve"> The </w:t>
      </w:r>
      <w:r w:rsidRPr="00943B07">
        <w:rPr>
          <w:lang w:val="en"/>
        </w:rPr>
        <w:t>GETS program prioritizes calls over wireline networks when congested.  Users receive an access card (called a GETS card), which has both the universal GETS access number and a Personal Identification Number (PIN).</w:t>
      </w:r>
    </w:p>
  </w:footnote>
  <w:footnote w:id="116">
    <w:p w:rsidR="003E6A33" w:rsidRPr="00943B07" w:rsidP="00E9413C">
      <w:pPr>
        <w:pStyle w:val="FootnoteText"/>
      </w:pPr>
      <w:r w:rsidRPr="00943B07">
        <w:rPr>
          <w:rStyle w:val="FootnoteReference"/>
        </w:rPr>
        <w:footnoteRef/>
      </w:r>
      <w:r w:rsidRPr="00943B07">
        <w:t xml:space="preserve"> The </w:t>
      </w:r>
      <w:r w:rsidRPr="00943B07">
        <w:rPr>
          <w:lang w:val="en"/>
        </w:rPr>
        <w:t xml:space="preserve">WPS program authorizes cellular communications service providers to prioritize calls over wireless networks when congested.  </w:t>
      </w:r>
    </w:p>
  </w:footnote>
  <w:footnote w:id="117">
    <w:p w:rsidR="003E6A33" w:rsidRPr="00943B07" w:rsidP="00E9413C">
      <w:pPr>
        <w:pStyle w:val="FootnoteText"/>
      </w:pPr>
      <w:r w:rsidRPr="00943B07">
        <w:rPr>
          <w:rStyle w:val="FootnoteReference"/>
        </w:rPr>
        <w:footnoteRef/>
      </w:r>
      <w:r w:rsidRPr="00943B07">
        <w:t xml:space="preserve"> </w:t>
      </w:r>
      <w:r w:rsidRPr="00943B07">
        <w:rPr>
          <w:i/>
        </w:rPr>
        <w:t>See</w:t>
      </w:r>
      <w:r w:rsidRPr="00943B07">
        <w:t xml:space="preserve"> Federal Communications Commission, </w:t>
      </w:r>
      <w:r w:rsidRPr="00943B07">
        <w:rPr>
          <w:i/>
        </w:rPr>
        <w:t xml:space="preserve">Government Emergency </w:t>
      </w:r>
      <w:r>
        <w:rPr>
          <w:i/>
        </w:rPr>
        <w:t>T</w:t>
      </w:r>
      <w:r w:rsidRPr="00943B07">
        <w:rPr>
          <w:i/>
        </w:rPr>
        <w:t>elecommunications Service</w:t>
      </w:r>
      <w:r w:rsidRPr="00943B07">
        <w:t xml:space="preserve">, https://www.fcc.gov/general/government-emergency-telecommunications-service (last visited </w:t>
      </w:r>
      <w:r>
        <w:t>Mar</w:t>
      </w:r>
      <w:r w:rsidRPr="00943B07">
        <w:t>. 2</w:t>
      </w:r>
      <w:r>
        <w:t>8</w:t>
      </w:r>
      <w:r w:rsidRPr="00943B07">
        <w:t>, 2018);</w:t>
      </w:r>
      <w:r w:rsidRPr="00943B07">
        <w:rPr>
          <w:iCs/>
        </w:rPr>
        <w:t xml:space="preserve"> </w:t>
      </w:r>
      <w:r w:rsidRPr="00943B07">
        <w:t xml:space="preserve">Federal Communications Commission, </w:t>
      </w:r>
      <w:r w:rsidRPr="00943B07">
        <w:rPr>
          <w:i/>
        </w:rPr>
        <w:t>Wireless Priority Service</w:t>
      </w:r>
      <w:r w:rsidRPr="00943B07">
        <w:t xml:space="preserve">, https://www.fcc.gov/general/wireless-priority-service-wps#block-menu-block-4 (last visited </w:t>
      </w:r>
      <w:r>
        <w:t>Mar</w:t>
      </w:r>
      <w:r w:rsidRPr="00943B07">
        <w:t>. 2</w:t>
      </w:r>
      <w:r>
        <w:t>8</w:t>
      </w:r>
      <w:r w:rsidRPr="00943B07">
        <w:t>, 2018).</w:t>
      </w:r>
    </w:p>
  </w:footnote>
  <w:footnote w:id="118">
    <w:p w:rsidR="003E6A33" w:rsidRPr="00943B07" w:rsidP="00C963FB">
      <w:pPr>
        <w:pStyle w:val="FootnoteText"/>
      </w:pPr>
      <w:r w:rsidRPr="00943B07">
        <w:rPr>
          <w:rStyle w:val="FootnoteReference"/>
        </w:rPr>
        <w:footnoteRef/>
      </w:r>
      <w:r w:rsidRPr="00943B07">
        <w:t xml:space="preserve"> Email from Debra Jordan, Deputy Chief, </w:t>
      </w:r>
      <w:bookmarkStart w:id="175" w:name="_Hlk507089178"/>
      <w:r w:rsidRPr="00943B07">
        <w:t>Public Safety &amp; Homeland Security Bureau</w:t>
      </w:r>
      <w:bookmarkEnd w:id="175"/>
      <w:r w:rsidRPr="00943B07">
        <w:t>, to Gregory Cooke, Deputy Chief, Policy and Licensing Division, Public Safety &amp; Homeland Security Bureau (Feb. 20, 2018) (on file with Gregory Cooke) (referencing confirmation to Operations and Emergency Management Division (OEM) from Department of Homeland Security (DHS) Office of Emergency Communications (OEC) Priority Services Program Manager that GETS/WPS had facilitated 19 calls on January 13, 2018).</w:t>
      </w:r>
    </w:p>
  </w:footnote>
  <w:footnote w:id="119">
    <w:p w:rsidR="003E6A33" w:rsidRPr="00943B07">
      <w:pPr>
        <w:pStyle w:val="FootnoteText"/>
      </w:pPr>
      <w:r w:rsidRPr="00943B07">
        <w:rPr>
          <w:rStyle w:val="FootnoteReference"/>
        </w:rPr>
        <w:footnoteRef/>
      </w:r>
      <w:r w:rsidRPr="00943B07">
        <w:t xml:space="preserve"> The </w:t>
      </w:r>
      <w:r w:rsidRPr="00943B07">
        <w:rPr>
          <w:rStyle w:val="s1"/>
          <w:lang w:val="en"/>
        </w:rPr>
        <w:t xml:space="preserve">State Warning Point uses the HAWAS “to transmit and receive emergency message to and from the Emergency Operations Center (EOC) and warning point for each county.”  Hawaii Emergency Management Agency, </w:t>
      </w:r>
      <w:r w:rsidRPr="00943B07">
        <w:rPr>
          <w:rStyle w:val="s1"/>
          <w:i/>
          <w:lang w:val="en"/>
        </w:rPr>
        <w:t>About Us</w:t>
      </w:r>
      <w:r w:rsidRPr="00943B07">
        <w:rPr>
          <w:rStyle w:val="s1"/>
          <w:lang w:val="en"/>
        </w:rPr>
        <w:t xml:space="preserve">, </w:t>
      </w:r>
      <w:r w:rsidRPr="00943B07">
        <w:t>http://dod.hawaii.gov/hiema/contact-us/about-us/</w:t>
      </w:r>
      <w:r w:rsidRPr="00943B07">
        <w:rPr>
          <w:rStyle w:val="s1"/>
          <w:lang w:val="en"/>
        </w:rPr>
        <w:t xml:space="preserve"> (last visited Mar. 28, 2018).  </w:t>
      </w:r>
    </w:p>
  </w:footnote>
  <w:footnote w:id="120">
    <w:p w:rsidR="003E6A33" w:rsidRPr="00943B07" w:rsidP="00E9413C">
      <w:pPr>
        <w:pStyle w:val="FootnoteText"/>
      </w:pPr>
      <w:r w:rsidRPr="00943B07">
        <w:rPr>
          <w:rStyle w:val="FootnoteReference"/>
        </w:rPr>
        <w:footnoteRef/>
      </w:r>
      <w:r w:rsidRPr="00943B07">
        <w:t xml:space="preserve"> The </w:t>
      </w:r>
      <w:r w:rsidRPr="00943B07">
        <w:rPr>
          <w:i/>
        </w:rPr>
        <w:t>HI-EMA Report</w:t>
      </w:r>
      <w:r w:rsidRPr="00943B07">
        <w:t xml:space="preserve"> recommends revising the ballistic missile alert checklist to require (1) repeating all directives and actions aloud and (2) using a two-person rule to verify directives and actions.  </w:t>
      </w:r>
      <w:r w:rsidRPr="00943B07">
        <w:rPr>
          <w:i/>
        </w:rPr>
        <w:t>HI-EMA Report</w:t>
      </w:r>
      <w:r w:rsidRPr="00943B07">
        <w:t xml:space="preserve"> at 11.</w:t>
      </w:r>
    </w:p>
  </w:footnote>
  <w:footnote w:id="121">
    <w:p w:rsidR="003E6A33" w:rsidRPr="00943B07" w:rsidP="00E9413C">
      <w:pPr>
        <w:pStyle w:val="FootnoteText"/>
      </w:pPr>
      <w:r w:rsidRPr="00943B07">
        <w:rPr>
          <w:rStyle w:val="FootnoteReference"/>
        </w:rPr>
        <w:footnoteRef/>
      </w:r>
      <w:r w:rsidRPr="00943B07">
        <w:t xml:space="preserve"> The </w:t>
      </w:r>
      <w:r w:rsidRPr="00943B07">
        <w:rPr>
          <w:i/>
        </w:rPr>
        <w:t>HI-EMA Report</w:t>
      </w:r>
      <w:r w:rsidRPr="00943B07">
        <w:t xml:space="preserve"> recommends (1) installing a computer process to rapidly issue alert cancellations on the WEA/EAS system and (2) adding an “All Clear” selection to the alert origination software drop down menu as part of the ballistic missile alert checklist.  </w:t>
      </w:r>
      <w:r w:rsidRPr="00943B07">
        <w:rPr>
          <w:i/>
        </w:rPr>
        <w:t>Id</w:t>
      </w:r>
      <w:r w:rsidRPr="00943B07">
        <w:t xml:space="preserve">. </w:t>
      </w:r>
    </w:p>
  </w:footnote>
  <w:footnote w:id="122">
    <w:p w:rsidR="003E6A33" w:rsidRPr="00943B07" w:rsidP="00E9413C">
      <w:pPr>
        <w:pStyle w:val="FootnoteText"/>
      </w:pPr>
      <w:r w:rsidRPr="00943B07">
        <w:rPr>
          <w:rStyle w:val="FootnoteReference"/>
        </w:rPr>
        <w:footnoteRef/>
      </w:r>
      <w:r w:rsidRPr="00943B07">
        <w:t xml:space="preserve"> </w:t>
      </w:r>
      <w:r w:rsidRPr="00943B07">
        <w:rPr>
          <w:i/>
        </w:rPr>
        <w:t xml:space="preserve">See infra </w:t>
      </w:r>
      <w:r w:rsidRPr="00943B07">
        <w:t>Appendix B.</w:t>
      </w:r>
    </w:p>
  </w:footnote>
  <w:footnote w:id="123">
    <w:p w:rsidR="003E6A33" w:rsidRPr="00943B07" w:rsidP="00E9413C">
      <w:pPr>
        <w:pStyle w:val="FootnoteText"/>
      </w:pPr>
      <w:r w:rsidRPr="00943B07">
        <w:rPr>
          <w:rStyle w:val="FootnoteReference"/>
        </w:rPr>
        <w:footnoteRef/>
      </w:r>
      <w:r w:rsidRPr="00943B07">
        <w:t xml:space="preserve"> The </w:t>
      </w:r>
      <w:r w:rsidRPr="00943B07">
        <w:rPr>
          <w:i/>
        </w:rPr>
        <w:t>HI-EMA Report</w:t>
      </w:r>
      <w:r w:rsidRPr="00943B07">
        <w:t xml:space="preserve"> recommends revising the confirmation message prompt to specify the action that requires confirmation (</w:t>
      </w:r>
      <w:r w:rsidRPr="00943B07">
        <w:rPr>
          <w:i/>
        </w:rPr>
        <w:t>i.e.,</w:t>
      </w:r>
      <w:r w:rsidRPr="00943B07">
        <w:t xml:space="preserve"> “Are you sure you want to send a ‘Real World Ballistic Missile Alert’”).  </w:t>
      </w:r>
      <w:r w:rsidRPr="00943B07">
        <w:rPr>
          <w:i/>
        </w:rPr>
        <w:t>HI-EMA Report</w:t>
      </w:r>
      <w:r w:rsidRPr="00943B07">
        <w:t xml:space="preserve"> at 11.</w:t>
      </w:r>
    </w:p>
  </w:footnote>
  <w:footnote w:id="124">
    <w:p w:rsidR="003E6A33" w:rsidRPr="00943B07" w:rsidP="00BF7756">
      <w:pPr>
        <w:widowControl/>
        <w:autoSpaceDE w:val="0"/>
        <w:autoSpaceDN w:val="0"/>
        <w:adjustRightInd w:val="0"/>
        <w:spacing w:after="120"/>
        <w:rPr>
          <w:rFonts w:eastAsiaTheme="minorHAnsi"/>
          <w:snapToGrid/>
          <w:kern w:val="0"/>
          <w:sz w:val="20"/>
        </w:rPr>
      </w:pPr>
      <w:r w:rsidRPr="00943B07">
        <w:rPr>
          <w:rStyle w:val="FootnoteReference"/>
        </w:rPr>
        <w:footnoteRef/>
      </w:r>
      <w:r w:rsidRPr="00943B07">
        <w:rPr>
          <w:sz w:val="20"/>
        </w:rPr>
        <w:t xml:space="preserve"> </w:t>
      </w:r>
      <w:r w:rsidRPr="00943B07">
        <w:rPr>
          <w:i/>
          <w:sz w:val="20"/>
        </w:rPr>
        <w:t>Id</w:t>
      </w:r>
      <w:r w:rsidRPr="00943B07">
        <w:rPr>
          <w:sz w:val="20"/>
        </w:rPr>
        <w:t xml:space="preserve">. at 9.  The </w:t>
      </w:r>
      <w:r w:rsidRPr="00943B07">
        <w:rPr>
          <w:i/>
          <w:sz w:val="20"/>
        </w:rPr>
        <w:t>Hawaii Preparedness Report</w:t>
      </w:r>
      <w:r w:rsidRPr="00943B07">
        <w:rPr>
          <w:sz w:val="20"/>
        </w:rPr>
        <w:t xml:space="preserve"> observed that “</w:t>
      </w:r>
      <w:r w:rsidRPr="00943B07">
        <w:rPr>
          <w:rFonts w:eastAsiaTheme="minorHAnsi"/>
          <w:snapToGrid/>
          <w:kern w:val="0"/>
          <w:sz w:val="20"/>
        </w:rPr>
        <w:t xml:space="preserve">HI-EMA began their Ballistic Missile Preparedness testing and internal drills prior to publishing an annex to the 2017 State of Hawaiʻi, Emergency Operations Base Plan to addresses Chemical, Biological, Radiological, and Nuclear (CBRN) threats.”  </w:t>
      </w:r>
      <w:r w:rsidRPr="00943B07">
        <w:rPr>
          <w:rFonts w:eastAsiaTheme="minorHAnsi"/>
          <w:i/>
          <w:sz w:val="20"/>
        </w:rPr>
        <w:t>See Hawaii Preparedness Report</w:t>
      </w:r>
      <w:r w:rsidRPr="00943B07">
        <w:rPr>
          <w:rFonts w:eastAsiaTheme="minorHAnsi"/>
          <w:sz w:val="20"/>
        </w:rPr>
        <w:t xml:space="preserve"> at 13.  </w:t>
      </w:r>
      <w:r w:rsidRPr="00943B07">
        <w:rPr>
          <w:sz w:val="20"/>
        </w:rPr>
        <w:t xml:space="preserve">Accordingly, the </w:t>
      </w:r>
      <w:r w:rsidRPr="00943B07">
        <w:rPr>
          <w:i/>
          <w:sz w:val="20"/>
        </w:rPr>
        <w:t xml:space="preserve">Hawaii Preparedness Report </w:t>
      </w:r>
      <w:r w:rsidRPr="00943B07">
        <w:rPr>
          <w:sz w:val="20"/>
        </w:rPr>
        <w:t>recommended that HI-EMA “</w:t>
      </w:r>
      <w:r w:rsidRPr="00943B07">
        <w:rPr>
          <w:rFonts w:eastAsiaTheme="minorHAnsi"/>
          <w:snapToGrid/>
          <w:kern w:val="0"/>
          <w:sz w:val="20"/>
        </w:rPr>
        <w:t>[s]uspend all activities related to the Ballistic Missile</w:t>
      </w:r>
      <w:r w:rsidRPr="00943B07">
        <w:rPr>
          <w:rFonts w:eastAsiaTheme="minorHAnsi"/>
          <w:sz w:val="20"/>
        </w:rPr>
        <w:t xml:space="preserve"> </w:t>
      </w:r>
      <w:r w:rsidRPr="00943B07">
        <w:rPr>
          <w:rFonts w:eastAsiaTheme="minorHAnsi"/>
          <w:snapToGrid/>
          <w:kern w:val="0"/>
          <w:sz w:val="20"/>
        </w:rPr>
        <w:t xml:space="preserve">Preparedness Campaign, with the exception of the monthly ballistic missile alert tone siren testing, until the </w:t>
      </w:r>
      <w:r w:rsidRPr="00943B07">
        <w:rPr>
          <w:rFonts w:eastAsiaTheme="minorHAnsi"/>
          <w:sz w:val="20"/>
        </w:rPr>
        <w:t>[</w:t>
      </w:r>
      <w:r w:rsidRPr="00943B07">
        <w:rPr>
          <w:rFonts w:eastAsiaTheme="minorHAnsi"/>
          <w:snapToGrid/>
          <w:kern w:val="0"/>
          <w:sz w:val="20"/>
        </w:rPr>
        <w:t>C</w:t>
      </w:r>
      <w:r w:rsidRPr="00943B07">
        <w:rPr>
          <w:rFonts w:eastAsiaTheme="minorHAnsi"/>
          <w:sz w:val="20"/>
        </w:rPr>
        <w:t xml:space="preserve">hemical, </w:t>
      </w:r>
      <w:r w:rsidRPr="00943B07">
        <w:rPr>
          <w:rFonts w:eastAsiaTheme="minorHAnsi"/>
          <w:snapToGrid/>
          <w:kern w:val="0"/>
          <w:sz w:val="20"/>
        </w:rPr>
        <w:t>B</w:t>
      </w:r>
      <w:r w:rsidRPr="00943B07">
        <w:rPr>
          <w:rFonts w:eastAsiaTheme="minorHAnsi"/>
          <w:sz w:val="20"/>
        </w:rPr>
        <w:t xml:space="preserve">iological, </w:t>
      </w:r>
      <w:r w:rsidRPr="00943B07">
        <w:rPr>
          <w:rFonts w:eastAsiaTheme="minorHAnsi"/>
          <w:snapToGrid/>
          <w:kern w:val="0"/>
          <w:sz w:val="20"/>
        </w:rPr>
        <w:t>R</w:t>
      </w:r>
      <w:r w:rsidRPr="00943B07">
        <w:rPr>
          <w:rFonts w:eastAsiaTheme="minorHAnsi"/>
          <w:sz w:val="20"/>
        </w:rPr>
        <w:t xml:space="preserve">adiological and </w:t>
      </w:r>
      <w:r w:rsidRPr="00943B07">
        <w:rPr>
          <w:rFonts w:eastAsiaTheme="minorHAnsi"/>
          <w:snapToGrid/>
          <w:kern w:val="0"/>
          <w:sz w:val="20"/>
        </w:rPr>
        <w:t>N</w:t>
      </w:r>
      <w:r w:rsidRPr="00943B07">
        <w:rPr>
          <w:rFonts w:eastAsiaTheme="minorHAnsi"/>
          <w:sz w:val="20"/>
        </w:rPr>
        <w:t>uclear threats]</w:t>
      </w:r>
      <w:r w:rsidRPr="00943B07">
        <w:rPr>
          <w:rFonts w:eastAsiaTheme="minorHAnsi"/>
          <w:snapToGrid/>
          <w:kern w:val="0"/>
          <w:sz w:val="20"/>
        </w:rPr>
        <w:t xml:space="preserve"> Annex is published and the majority of Hawaiʻi’s public know </w:t>
      </w:r>
      <w:r w:rsidRPr="00943B07">
        <w:rPr>
          <w:rFonts w:eastAsiaTheme="minorHAnsi"/>
          <w:sz w:val="20"/>
        </w:rPr>
        <w:t>‘</w:t>
      </w:r>
      <w:r w:rsidRPr="00943B07">
        <w:rPr>
          <w:rFonts w:eastAsiaTheme="minorHAnsi"/>
          <w:snapToGrid/>
          <w:kern w:val="0"/>
          <w:sz w:val="20"/>
        </w:rPr>
        <w:t>what to do, where to go, and when to do it.</w:t>
      </w:r>
      <w:r w:rsidRPr="00943B07">
        <w:rPr>
          <w:rFonts w:eastAsiaTheme="minorHAnsi"/>
          <w:sz w:val="20"/>
        </w:rPr>
        <w:t>’</w:t>
      </w:r>
      <w:r w:rsidRPr="00943B07">
        <w:rPr>
          <w:rFonts w:eastAsiaTheme="minorHAnsi"/>
          <w:snapToGrid/>
          <w:kern w:val="0"/>
          <w:sz w:val="20"/>
        </w:rPr>
        <w:t>”</w:t>
      </w:r>
      <w:r w:rsidRPr="00943B07">
        <w:rPr>
          <w:rFonts w:eastAsiaTheme="minorHAnsi"/>
          <w:sz w:val="20"/>
        </w:rPr>
        <w:t xml:space="preserve">  </w:t>
      </w:r>
      <w:r w:rsidRPr="00943B07">
        <w:rPr>
          <w:rFonts w:eastAsiaTheme="minorHAnsi"/>
          <w:i/>
          <w:sz w:val="20"/>
        </w:rPr>
        <w:t>Id</w:t>
      </w:r>
      <w:r w:rsidRPr="00943B07">
        <w:rPr>
          <w:rFonts w:eastAsiaTheme="minorHAnsi"/>
          <w:sz w:val="20"/>
        </w:rPr>
        <w:t>.</w:t>
      </w:r>
    </w:p>
  </w:footnote>
  <w:footnote w:id="125">
    <w:p w:rsidR="003E6A33" w:rsidRPr="00943B07">
      <w:pPr>
        <w:pStyle w:val="FootnoteText"/>
      </w:pPr>
      <w:r w:rsidRPr="00943B07">
        <w:rPr>
          <w:rStyle w:val="FootnoteReference"/>
        </w:rPr>
        <w:footnoteRef/>
      </w:r>
      <w:r w:rsidRPr="00943B07">
        <w:t xml:space="preserve"> </w:t>
      </w:r>
      <w:r w:rsidRPr="00943B07">
        <w:rPr>
          <w:i/>
        </w:rPr>
        <w:t>See</w:t>
      </w:r>
      <w:r w:rsidRPr="00943B07">
        <w:t xml:space="preserve"> Press Release, Hawaii Emergency Management Agency Announces New Administrator, (Mar. 16, 2018), http://dod.hawaii.gov/hiema/hawaii-emergency-management-announces-new-administrator/.</w:t>
      </w:r>
    </w:p>
  </w:footnote>
  <w:footnote w:id="126">
    <w:p w:rsidR="003E6A33" w:rsidRPr="00FE02A0" w:rsidP="008A5DDB">
      <w:pPr>
        <w:pStyle w:val="FootnoteText"/>
      </w:pPr>
      <w:r w:rsidRPr="00943B07">
        <w:rPr>
          <w:rStyle w:val="FootnoteReference"/>
        </w:rPr>
        <w:footnoteRef/>
      </w:r>
      <w:r w:rsidRPr="00943B07">
        <w:t xml:space="preserve"> </w:t>
      </w:r>
      <w:r w:rsidRPr="00943B07">
        <w:rPr>
          <w:i/>
        </w:rPr>
        <w:t>See supra</w:t>
      </w:r>
      <w:r w:rsidRPr="00943B07">
        <w:t xml:space="preserve"> note </w:t>
      </w:r>
      <w:r w:rsidRPr="00183EE1">
        <w:fldChar w:fldCharType="begin"/>
      </w:r>
      <w:r w:rsidRPr="00943B07">
        <w:instrText xml:space="preserve"> NOTEREF _Ref509824984 \h  \* MERGEFORMAT </w:instrText>
      </w:r>
      <w:r w:rsidRPr="00183EE1">
        <w:fldChar w:fldCharType="separate"/>
      </w:r>
      <w:r w:rsidR="00520284">
        <w:t>39</w:t>
      </w:r>
      <w:r w:rsidRPr="00183EE1">
        <w:fldChar w:fldCharType="end"/>
      </w:r>
      <w:r w:rsidRPr="00943B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A33" w:rsidP="00403A0F">
    <w:pPr>
      <w:pStyle w:val="Header"/>
    </w:pPr>
    <w:r>
      <w:tab/>
      <w:t>Federal Communications Commission</w:t>
    </w:r>
    <w:r>
      <w:tab/>
    </w:r>
  </w:p>
  <w:p w:rsidR="003E6A3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E6A33">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A33" w:rsidP="00403A0F">
    <w:pPr>
      <w:pStyle w:val="Header"/>
    </w:pPr>
  </w:p>
  <w:p w:rsidR="003E6A33" w:rsidP="00403A0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6436B"/>
    <w:multiLevelType w:val="hybridMultilevel"/>
    <w:tmpl w:val="2D64D7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C5375CB"/>
    <w:multiLevelType w:val="hybridMultilevel"/>
    <w:tmpl w:val="6EAE6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5F354C"/>
    <w:multiLevelType w:val="hybridMultilevel"/>
    <w:tmpl w:val="E5E89B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7E06CBB"/>
    <w:multiLevelType w:val="multilevel"/>
    <w:tmpl w:val="FE48977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0550AB0"/>
    <w:multiLevelType w:val="multilevel"/>
    <w:tmpl w:val="5CA4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65109"/>
    <w:multiLevelType w:val="hybridMultilevel"/>
    <w:tmpl w:val="48F4247E"/>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7">
    <w:nsid w:val="61182925"/>
    <w:multiLevelType w:val="singleLevel"/>
    <w:tmpl w:val="BBCC093A"/>
    <w:lvl w:ilvl="0">
      <w:start w:val="1"/>
      <w:numFmt w:val="decimal"/>
      <w:pStyle w:val="ParaNum"/>
      <w:lvlText w:val="%1."/>
      <w:lvlJc w:val="left"/>
      <w:pPr>
        <w:tabs>
          <w:tab w:val="num" w:pos="1530"/>
        </w:tabs>
        <w:ind w:left="450" w:firstLine="720"/>
      </w:pPr>
      <w:rPr>
        <w:b w:val="0"/>
        <w:color w:val="auto"/>
      </w:rPr>
    </w:lvl>
  </w:abstractNum>
  <w:num w:numId="1">
    <w:abstractNumId w:val="7"/>
  </w:num>
  <w:num w:numId="2">
    <w:abstractNumId w:val="4"/>
  </w:num>
  <w:num w:numId="3">
    <w:abstractNumId w:val="0"/>
  </w:num>
  <w:num w:numId="4">
    <w:abstractNumId w:val="2"/>
  </w:num>
  <w:num w:numId="5">
    <w:abstractNumId w:val="1"/>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num>
  <w:num w:numId="16">
    <w:abstractNumId w:val="7"/>
  </w:num>
  <w:num w:numId="17">
    <w:abstractNumId w:val="7"/>
    <w:lvlOverride w:ilvl="0">
      <w:startOverride w:val="1"/>
    </w:lvlOverride>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3C"/>
    <w:rsid w:val="00002219"/>
    <w:rsid w:val="000025E7"/>
    <w:rsid w:val="00002D58"/>
    <w:rsid w:val="00002E1C"/>
    <w:rsid w:val="0000436D"/>
    <w:rsid w:val="0000579E"/>
    <w:rsid w:val="000059AB"/>
    <w:rsid w:val="000061C6"/>
    <w:rsid w:val="0000620A"/>
    <w:rsid w:val="00006765"/>
    <w:rsid w:val="00006836"/>
    <w:rsid w:val="00006E29"/>
    <w:rsid w:val="0000703D"/>
    <w:rsid w:val="00007606"/>
    <w:rsid w:val="00010577"/>
    <w:rsid w:val="000106D2"/>
    <w:rsid w:val="000108C9"/>
    <w:rsid w:val="00010CAE"/>
    <w:rsid w:val="00011B21"/>
    <w:rsid w:val="0001210F"/>
    <w:rsid w:val="000127AD"/>
    <w:rsid w:val="0001417B"/>
    <w:rsid w:val="0001440B"/>
    <w:rsid w:val="000145E6"/>
    <w:rsid w:val="00015194"/>
    <w:rsid w:val="00016FCB"/>
    <w:rsid w:val="00017ACA"/>
    <w:rsid w:val="00017F82"/>
    <w:rsid w:val="00020176"/>
    <w:rsid w:val="0002162E"/>
    <w:rsid w:val="00022896"/>
    <w:rsid w:val="00022ED1"/>
    <w:rsid w:val="00023B2D"/>
    <w:rsid w:val="00023C15"/>
    <w:rsid w:val="000248C1"/>
    <w:rsid w:val="0002568C"/>
    <w:rsid w:val="00025AA2"/>
    <w:rsid w:val="000265DF"/>
    <w:rsid w:val="0002668B"/>
    <w:rsid w:val="000268B5"/>
    <w:rsid w:val="0002690F"/>
    <w:rsid w:val="00026B1B"/>
    <w:rsid w:val="000279A6"/>
    <w:rsid w:val="00031009"/>
    <w:rsid w:val="00031AAA"/>
    <w:rsid w:val="00031D3C"/>
    <w:rsid w:val="0003240C"/>
    <w:rsid w:val="0003374D"/>
    <w:rsid w:val="00033980"/>
    <w:rsid w:val="00033F84"/>
    <w:rsid w:val="000341B7"/>
    <w:rsid w:val="000341F2"/>
    <w:rsid w:val="000356DD"/>
    <w:rsid w:val="00035D3D"/>
    <w:rsid w:val="00036039"/>
    <w:rsid w:val="00036057"/>
    <w:rsid w:val="00036395"/>
    <w:rsid w:val="000370F7"/>
    <w:rsid w:val="00037B04"/>
    <w:rsid w:val="00037C1C"/>
    <w:rsid w:val="00037F90"/>
    <w:rsid w:val="0004155A"/>
    <w:rsid w:val="00041650"/>
    <w:rsid w:val="00042C62"/>
    <w:rsid w:val="00043A3B"/>
    <w:rsid w:val="00043F5B"/>
    <w:rsid w:val="000443AD"/>
    <w:rsid w:val="00044523"/>
    <w:rsid w:val="00044E2A"/>
    <w:rsid w:val="0004587D"/>
    <w:rsid w:val="00045B34"/>
    <w:rsid w:val="00046417"/>
    <w:rsid w:val="000466CE"/>
    <w:rsid w:val="0004680B"/>
    <w:rsid w:val="00046AB8"/>
    <w:rsid w:val="0005156C"/>
    <w:rsid w:val="000536C6"/>
    <w:rsid w:val="000542F4"/>
    <w:rsid w:val="0005476F"/>
    <w:rsid w:val="00054E59"/>
    <w:rsid w:val="00055251"/>
    <w:rsid w:val="00055421"/>
    <w:rsid w:val="000556DF"/>
    <w:rsid w:val="0005648A"/>
    <w:rsid w:val="00056A43"/>
    <w:rsid w:val="00056DFA"/>
    <w:rsid w:val="00056F9F"/>
    <w:rsid w:val="00057443"/>
    <w:rsid w:val="0006119F"/>
    <w:rsid w:val="000614ED"/>
    <w:rsid w:val="0006230C"/>
    <w:rsid w:val="000625FD"/>
    <w:rsid w:val="00062FCA"/>
    <w:rsid w:val="00063847"/>
    <w:rsid w:val="00063CA0"/>
    <w:rsid w:val="000640B5"/>
    <w:rsid w:val="00064C4F"/>
    <w:rsid w:val="0006501F"/>
    <w:rsid w:val="0006678A"/>
    <w:rsid w:val="00066791"/>
    <w:rsid w:val="000668CF"/>
    <w:rsid w:val="00070658"/>
    <w:rsid w:val="00070957"/>
    <w:rsid w:val="00072430"/>
    <w:rsid w:val="00072FEA"/>
    <w:rsid w:val="000737E6"/>
    <w:rsid w:val="00074534"/>
    <w:rsid w:val="00074562"/>
    <w:rsid w:val="000754A5"/>
    <w:rsid w:val="000759C9"/>
    <w:rsid w:val="00076A84"/>
    <w:rsid w:val="0007765D"/>
    <w:rsid w:val="00077786"/>
    <w:rsid w:val="000777C0"/>
    <w:rsid w:val="00077B2B"/>
    <w:rsid w:val="00077BBE"/>
    <w:rsid w:val="00077D45"/>
    <w:rsid w:val="00080333"/>
    <w:rsid w:val="00080654"/>
    <w:rsid w:val="00081BFE"/>
    <w:rsid w:val="00082ABA"/>
    <w:rsid w:val="00082D2C"/>
    <w:rsid w:val="00082EDE"/>
    <w:rsid w:val="000837B8"/>
    <w:rsid w:val="00084ED0"/>
    <w:rsid w:val="0008647E"/>
    <w:rsid w:val="000870DD"/>
    <w:rsid w:val="000875BF"/>
    <w:rsid w:val="00087D5D"/>
    <w:rsid w:val="0009064C"/>
    <w:rsid w:val="000908E1"/>
    <w:rsid w:val="00090993"/>
    <w:rsid w:val="000914BB"/>
    <w:rsid w:val="00092D05"/>
    <w:rsid w:val="0009379F"/>
    <w:rsid w:val="000954EF"/>
    <w:rsid w:val="00095524"/>
    <w:rsid w:val="000957E0"/>
    <w:rsid w:val="00095BFB"/>
    <w:rsid w:val="00095D72"/>
    <w:rsid w:val="0009627F"/>
    <w:rsid w:val="000966DB"/>
    <w:rsid w:val="00096D8C"/>
    <w:rsid w:val="000A0D13"/>
    <w:rsid w:val="000A123C"/>
    <w:rsid w:val="000A1BAD"/>
    <w:rsid w:val="000A39D2"/>
    <w:rsid w:val="000A39DE"/>
    <w:rsid w:val="000A5169"/>
    <w:rsid w:val="000A6AC5"/>
    <w:rsid w:val="000A7A88"/>
    <w:rsid w:val="000A7AFE"/>
    <w:rsid w:val="000B11CD"/>
    <w:rsid w:val="000B1D02"/>
    <w:rsid w:val="000B311D"/>
    <w:rsid w:val="000B4ABB"/>
    <w:rsid w:val="000B4DF3"/>
    <w:rsid w:val="000B5145"/>
    <w:rsid w:val="000B554E"/>
    <w:rsid w:val="000B57BA"/>
    <w:rsid w:val="000B6A82"/>
    <w:rsid w:val="000B6B35"/>
    <w:rsid w:val="000B6E3C"/>
    <w:rsid w:val="000B72B6"/>
    <w:rsid w:val="000C0093"/>
    <w:rsid w:val="000C09B6"/>
    <w:rsid w:val="000C0B65"/>
    <w:rsid w:val="000C0D61"/>
    <w:rsid w:val="000C109B"/>
    <w:rsid w:val="000C1179"/>
    <w:rsid w:val="000C1C5E"/>
    <w:rsid w:val="000C1FDA"/>
    <w:rsid w:val="000C2254"/>
    <w:rsid w:val="000C3684"/>
    <w:rsid w:val="000C384A"/>
    <w:rsid w:val="000C41BB"/>
    <w:rsid w:val="000C4FE9"/>
    <w:rsid w:val="000C5BE9"/>
    <w:rsid w:val="000C5F78"/>
    <w:rsid w:val="000C6769"/>
    <w:rsid w:val="000C783D"/>
    <w:rsid w:val="000C7CEA"/>
    <w:rsid w:val="000D0B20"/>
    <w:rsid w:val="000D0CEB"/>
    <w:rsid w:val="000D0EFD"/>
    <w:rsid w:val="000D126B"/>
    <w:rsid w:val="000D15D2"/>
    <w:rsid w:val="000D1627"/>
    <w:rsid w:val="000D16CE"/>
    <w:rsid w:val="000D1C70"/>
    <w:rsid w:val="000D1D0B"/>
    <w:rsid w:val="000D3ADF"/>
    <w:rsid w:val="000D3F15"/>
    <w:rsid w:val="000D47E2"/>
    <w:rsid w:val="000D4D4F"/>
    <w:rsid w:val="000D5B34"/>
    <w:rsid w:val="000D5FF3"/>
    <w:rsid w:val="000D739A"/>
    <w:rsid w:val="000E0476"/>
    <w:rsid w:val="000E05FE"/>
    <w:rsid w:val="000E162A"/>
    <w:rsid w:val="000E2269"/>
    <w:rsid w:val="000E3D42"/>
    <w:rsid w:val="000E3EA0"/>
    <w:rsid w:val="000E4244"/>
    <w:rsid w:val="000E4D11"/>
    <w:rsid w:val="000E4E47"/>
    <w:rsid w:val="000E5026"/>
    <w:rsid w:val="000E59AE"/>
    <w:rsid w:val="000E60A2"/>
    <w:rsid w:val="000E6CC7"/>
    <w:rsid w:val="000E7FAC"/>
    <w:rsid w:val="000E7FCE"/>
    <w:rsid w:val="000E7FD5"/>
    <w:rsid w:val="000F01F3"/>
    <w:rsid w:val="000F0312"/>
    <w:rsid w:val="000F1524"/>
    <w:rsid w:val="000F37B4"/>
    <w:rsid w:val="000F3952"/>
    <w:rsid w:val="000F3BD8"/>
    <w:rsid w:val="000F3C5C"/>
    <w:rsid w:val="000F57B1"/>
    <w:rsid w:val="000F5EC0"/>
    <w:rsid w:val="000F7EB8"/>
    <w:rsid w:val="00100E73"/>
    <w:rsid w:val="001012E0"/>
    <w:rsid w:val="00101C9F"/>
    <w:rsid w:val="00102F1F"/>
    <w:rsid w:val="001034FF"/>
    <w:rsid w:val="001038FF"/>
    <w:rsid w:val="00104AD6"/>
    <w:rsid w:val="00104EF7"/>
    <w:rsid w:val="00104FF6"/>
    <w:rsid w:val="00105480"/>
    <w:rsid w:val="00105C42"/>
    <w:rsid w:val="0010670A"/>
    <w:rsid w:val="00107BD7"/>
    <w:rsid w:val="00110332"/>
    <w:rsid w:val="001110FD"/>
    <w:rsid w:val="00111377"/>
    <w:rsid w:val="0011163E"/>
    <w:rsid w:val="00113A71"/>
    <w:rsid w:val="001146EA"/>
    <w:rsid w:val="0011495D"/>
    <w:rsid w:val="00114FDF"/>
    <w:rsid w:val="001150B0"/>
    <w:rsid w:val="001157D6"/>
    <w:rsid w:val="00116BEA"/>
    <w:rsid w:val="00116CC2"/>
    <w:rsid w:val="00117530"/>
    <w:rsid w:val="001178FC"/>
    <w:rsid w:val="00117E36"/>
    <w:rsid w:val="00122BD5"/>
    <w:rsid w:val="00123269"/>
    <w:rsid w:val="0012344A"/>
    <w:rsid w:val="00123675"/>
    <w:rsid w:val="00123ACD"/>
    <w:rsid w:val="00123F6C"/>
    <w:rsid w:val="00124112"/>
    <w:rsid w:val="00124617"/>
    <w:rsid w:val="00124F6F"/>
    <w:rsid w:val="001256DD"/>
    <w:rsid w:val="00126A79"/>
    <w:rsid w:val="00127AEE"/>
    <w:rsid w:val="001306BA"/>
    <w:rsid w:val="00130707"/>
    <w:rsid w:val="001325CD"/>
    <w:rsid w:val="00132966"/>
    <w:rsid w:val="00132CFF"/>
    <w:rsid w:val="00133A6E"/>
    <w:rsid w:val="00133F79"/>
    <w:rsid w:val="001340C0"/>
    <w:rsid w:val="00134C89"/>
    <w:rsid w:val="00134F91"/>
    <w:rsid w:val="00135277"/>
    <w:rsid w:val="001353B4"/>
    <w:rsid w:val="0013596C"/>
    <w:rsid w:val="00135DA7"/>
    <w:rsid w:val="00135FA3"/>
    <w:rsid w:val="00136F3E"/>
    <w:rsid w:val="001377B9"/>
    <w:rsid w:val="00137901"/>
    <w:rsid w:val="00140D45"/>
    <w:rsid w:val="0014139C"/>
    <w:rsid w:val="00141505"/>
    <w:rsid w:val="00142A9F"/>
    <w:rsid w:val="00142B2F"/>
    <w:rsid w:val="00143235"/>
    <w:rsid w:val="001439F8"/>
    <w:rsid w:val="00144B0C"/>
    <w:rsid w:val="00144B74"/>
    <w:rsid w:val="00144FF1"/>
    <w:rsid w:val="00146C06"/>
    <w:rsid w:val="00146C09"/>
    <w:rsid w:val="001479E3"/>
    <w:rsid w:val="00150951"/>
    <w:rsid w:val="00150C1F"/>
    <w:rsid w:val="00150D25"/>
    <w:rsid w:val="00151C59"/>
    <w:rsid w:val="00152092"/>
    <w:rsid w:val="001521CC"/>
    <w:rsid w:val="001544AA"/>
    <w:rsid w:val="0015531F"/>
    <w:rsid w:val="00155ED7"/>
    <w:rsid w:val="00156F19"/>
    <w:rsid w:val="00157D28"/>
    <w:rsid w:val="0016042A"/>
    <w:rsid w:val="00160F8D"/>
    <w:rsid w:val="001611D1"/>
    <w:rsid w:val="001612D2"/>
    <w:rsid w:val="00161342"/>
    <w:rsid w:val="001631A2"/>
    <w:rsid w:val="00163481"/>
    <w:rsid w:val="001637D5"/>
    <w:rsid w:val="00164BE1"/>
    <w:rsid w:val="00164E88"/>
    <w:rsid w:val="00165CD5"/>
    <w:rsid w:val="00166A5A"/>
    <w:rsid w:val="00166C98"/>
    <w:rsid w:val="00167A8D"/>
    <w:rsid w:val="00170482"/>
    <w:rsid w:val="001709AD"/>
    <w:rsid w:val="00171712"/>
    <w:rsid w:val="001717F9"/>
    <w:rsid w:val="00171DB2"/>
    <w:rsid w:val="0017297C"/>
    <w:rsid w:val="00172C82"/>
    <w:rsid w:val="0017315D"/>
    <w:rsid w:val="00173714"/>
    <w:rsid w:val="0017429D"/>
    <w:rsid w:val="0017444E"/>
    <w:rsid w:val="0017470A"/>
    <w:rsid w:val="001747F6"/>
    <w:rsid w:val="00174F5A"/>
    <w:rsid w:val="001752DC"/>
    <w:rsid w:val="0017687E"/>
    <w:rsid w:val="00180375"/>
    <w:rsid w:val="00180C5C"/>
    <w:rsid w:val="001812D0"/>
    <w:rsid w:val="001815D0"/>
    <w:rsid w:val="00181E5A"/>
    <w:rsid w:val="00181FF9"/>
    <w:rsid w:val="001826C0"/>
    <w:rsid w:val="00182E08"/>
    <w:rsid w:val="001832E3"/>
    <w:rsid w:val="00183A78"/>
    <w:rsid w:val="00183EE1"/>
    <w:rsid w:val="00185C37"/>
    <w:rsid w:val="00186329"/>
    <w:rsid w:val="00186B4C"/>
    <w:rsid w:val="00187752"/>
    <w:rsid w:val="00187887"/>
    <w:rsid w:val="00190812"/>
    <w:rsid w:val="00190ABC"/>
    <w:rsid w:val="001918DD"/>
    <w:rsid w:val="00192A06"/>
    <w:rsid w:val="00192A4D"/>
    <w:rsid w:val="0019470A"/>
    <w:rsid w:val="00194A66"/>
    <w:rsid w:val="00194BFC"/>
    <w:rsid w:val="00196AE1"/>
    <w:rsid w:val="00196E70"/>
    <w:rsid w:val="0019783B"/>
    <w:rsid w:val="001A06A9"/>
    <w:rsid w:val="001A0ABB"/>
    <w:rsid w:val="001A0E75"/>
    <w:rsid w:val="001A1689"/>
    <w:rsid w:val="001A268E"/>
    <w:rsid w:val="001A277A"/>
    <w:rsid w:val="001A2CCA"/>
    <w:rsid w:val="001A2CD4"/>
    <w:rsid w:val="001A2F41"/>
    <w:rsid w:val="001A3915"/>
    <w:rsid w:val="001A55D7"/>
    <w:rsid w:val="001A58E8"/>
    <w:rsid w:val="001A65BB"/>
    <w:rsid w:val="001A7D28"/>
    <w:rsid w:val="001B454B"/>
    <w:rsid w:val="001B4887"/>
    <w:rsid w:val="001B4E74"/>
    <w:rsid w:val="001B6820"/>
    <w:rsid w:val="001B6A17"/>
    <w:rsid w:val="001B6A86"/>
    <w:rsid w:val="001B75B3"/>
    <w:rsid w:val="001C2730"/>
    <w:rsid w:val="001C2A49"/>
    <w:rsid w:val="001C3CF0"/>
    <w:rsid w:val="001C3ECF"/>
    <w:rsid w:val="001C40FA"/>
    <w:rsid w:val="001C446B"/>
    <w:rsid w:val="001C4B5C"/>
    <w:rsid w:val="001C527D"/>
    <w:rsid w:val="001C5358"/>
    <w:rsid w:val="001C54A3"/>
    <w:rsid w:val="001C73A5"/>
    <w:rsid w:val="001C761C"/>
    <w:rsid w:val="001C7934"/>
    <w:rsid w:val="001C7E86"/>
    <w:rsid w:val="001D349A"/>
    <w:rsid w:val="001D4A93"/>
    <w:rsid w:val="001D66D8"/>
    <w:rsid w:val="001D6BCF"/>
    <w:rsid w:val="001D71DC"/>
    <w:rsid w:val="001E01CA"/>
    <w:rsid w:val="001E1B07"/>
    <w:rsid w:val="001E1FEA"/>
    <w:rsid w:val="001E2522"/>
    <w:rsid w:val="001E2D2F"/>
    <w:rsid w:val="001E3708"/>
    <w:rsid w:val="001E417C"/>
    <w:rsid w:val="001E53C0"/>
    <w:rsid w:val="001E5C5D"/>
    <w:rsid w:val="001E7963"/>
    <w:rsid w:val="001F0233"/>
    <w:rsid w:val="001F02DB"/>
    <w:rsid w:val="001F0918"/>
    <w:rsid w:val="001F0B10"/>
    <w:rsid w:val="001F0C55"/>
    <w:rsid w:val="001F0E5C"/>
    <w:rsid w:val="001F214B"/>
    <w:rsid w:val="001F25EE"/>
    <w:rsid w:val="001F2773"/>
    <w:rsid w:val="001F2DF0"/>
    <w:rsid w:val="001F3947"/>
    <w:rsid w:val="001F4361"/>
    <w:rsid w:val="001F5F6F"/>
    <w:rsid w:val="001F76C2"/>
    <w:rsid w:val="002009A7"/>
    <w:rsid w:val="00200AC5"/>
    <w:rsid w:val="00200D78"/>
    <w:rsid w:val="00201C84"/>
    <w:rsid w:val="002021C3"/>
    <w:rsid w:val="002028E1"/>
    <w:rsid w:val="00202CE5"/>
    <w:rsid w:val="002033B6"/>
    <w:rsid w:val="002034BB"/>
    <w:rsid w:val="00203C69"/>
    <w:rsid w:val="00204778"/>
    <w:rsid w:val="00204831"/>
    <w:rsid w:val="00205561"/>
    <w:rsid w:val="00207617"/>
    <w:rsid w:val="00207743"/>
    <w:rsid w:val="00207E8D"/>
    <w:rsid w:val="00207EA5"/>
    <w:rsid w:val="002114F7"/>
    <w:rsid w:val="00211C9E"/>
    <w:rsid w:val="00211EB2"/>
    <w:rsid w:val="002130DA"/>
    <w:rsid w:val="00213BB7"/>
    <w:rsid w:val="00213D61"/>
    <w:rsid w:val="00214A31"/>
    <w:rsid w:val="002151C7"/>
    <w:rsid w:val="00216450"/>
    <w:rsid w:val="00216BF3"/>
    <w:rsid w:val="00216E68"/>
    <w:rsid w:val="00217454"/>
    <w:rsid w:val="00217934"/>
    <w:rsid w:val="0022033C"/>
    <w:rsid w:val="002216E0"/>
    <w:rsid w:val="00221CD7"/>
    <w:rsid w:val="002222A3"/>
    <w:rsid w:val="0022562F"/>
    <w:rsid w:val="00225CC9"/>
    <w:rsid w:val="0022601A"/>
    <w:rsid w:val="002267E8"/>
    <w:rsid w:val="00226FA6"/>
    <w:rsid w:val="00227048"/>
    <w:rsid w:val="0022718C"/>
    <w:rsid w:val="00227355"/>
    <w:rsid w:val="00227504"/>
    <w:rsid w:val="002275BE"/>
    <w:rsid w:val="0022794A"/>
    <w:rsid w:val="002312AA"/>
    <w:rsid w:val="002320ED"/>
    <w:rsid w:val="002330B8"/>
    <w:rsid w:val="00233431"/>
    <w:rsid w:val="00234B96"/>
    <w:rsid w:val="00234EEE"/>
    <w:rsid w:val="002350D4"/>
    <w:rsid w:val="002362F5"/>
    <w:rsid w:val="0023682F"/>
    <w:rsid w:val="0023683F"/>
    <w:rsid w:val="00236CE2"/>
    <w:rsid w:val="00236E9F"/>
    <w:rsid w:val="002404E6"/>
    <w:rsid w:val="002406AD"/>
    <w:rsid w:val="00241033"/>
    <w:rsid w:val="002421CB"/>
    <w:rsid w:val="0024334C"/>
    <w:rsid w:val="002435DC"/>
    <w:rsid w:val="002446EC"/>
    <w:rsid w:val="002453AC"/>
    <w:rsid w:val="00245ACC"/>
    <w:rsid w:val="00245C52"/>
    <w:rsid w:val="0024616A"/>
    <w:rsid w:val="00246929"/>
    <w:rsid w:val="002471DF"/>
    <w:rsid w:val="00247544"/>
    <w:rsid w:val="00247693"/>
    <w:rsid w:val="00250040"/>
    <w:rsid w:val="0025050A"/>
    <w:rsid w:val="0025068C"/>
    <w:rsid w:val="00250973"/>
    <w:rsid w:val="00250E46"/>
    <w:rsid w:val="00250FFA"/>
    <w:rsid w:val="002515C3"/>
    <w:rsid w:val="00251A7A"/>
    <w:rsid w:val="00252362"/>
    <w:rsid w:val="002527C5"/>
    <w:rsid w:val="00253B62"/>
    <w:rsid w:val="00254495"/>
    <w:rsid w:val="00254994"/>
    <w:rsid w:val="00255D88"/>
    <w:rsid w:val="00256568"/>
    <w:rsid w:val="00256EB8"/>
    <w:rsid w:val="00260D8F"/>
    <w:rsid w:val="0026166F"/>
    <w:rsid w:val="00261C17"/>
    <w:rsid w:val="002620C9"/>
    <w:rsid w:val="00263308"/>
    <w:rsid w:val="00264E43"/>
    <w:rsid w:val="00264F33"/>
    <w:rsid w:val="00265266"/>
    <w:rsid w:val="002655DD"/>
    <w:rsid w:val="00265942"/>
    <w:rsid w:val="00265B49"/>
    <w:rsid w:val="00266581"/>
    <w:rsid w:val="002667F3"/>
    <w:rsid w:val="00266B58"/>
    <w:rsid w:val="00266C97"/>
    <w:rsid w:val="002678CF"/>
    <w:rsid w:val="00270DAF"/>
    <w:rsid w:val="00271121"/>
    <w:rsid w:val="002717F7"/>
    <w:rsid w:val="00271B98"/>
    <w:rsid w:val="002720EB"/>
    <w:rsid w:val="002735AB"/>
    <w:rsid w:val="00273F6B"/>
    <w:rsid w:val="00274700"/>
    <w:rsid w:val="00275CF5"/>
    <w:rsid w:val="00275DCF"/>
    <w:rsid w:val="002765AA"/>
    <w:rsid w:val="0027732B"/>
    <w:rsid w:val="00277BBA"/>
    <w:rsid w:val="00280819"/>
    <w:rsid w:val="00280870"/>
    <w:rsid w:val="0028125D"/>
    <w:rsid w:val="0028301F"/>
    <w:rsid w:val="0028390B"/>
    <w:rsid w:val="00283A81"/>
    <w:rsid w:val="00283BD9"/>
    <w:rsid w:val="00284841"/>
    <w:rsid w:val="00284AE5"/>
    <w:rsid w:val="00285017"/>
    <w:rsid w:val="002855EF"/>
    <w:rsid w:val="0028663C"/>
    <w:rsid w:val="00286782"/>
    <w:rsid w:val="00286972"/>
    <w:rsid w:val="002869E4"/>
    <w:rsid w:val="0028760E"/>
    <w:rsid w:val="00290E41"/>
    <w:rsid w:val="00291292"/>
    <w:rsid w:val="0029180C"/>
    <w:rsid w:val="00291A8F"/>
    <w:rsid w:val="00291DCF"/>
    <w:rsid w:val="00291EC9"/>
    <w:rsid w:val="00291FC4"/>
    <w:rsid w:val="00292692"/>
    <w:rsid w:val="00292DFB"/>
    <w:rsid w:val="00292E4F"/>
    <w:rsid w:val="00292F37"/>
    <w:rsid w:val="00293990"/>
    <w:rsid w:val="00293C65"/>
    <w:rsid w:val="002945C2"/>
    <w:rsid w:val="002946C6"/>
    <w:rsid w:val="00296092"/>
    <w:rsid w:val="00297728"/>
    <w:rsid w:val="002977E9"/>
    <w:rsid w:val="002A0BC0"/>
    <w:rsid w:val="002A129F"/>
    <w:rsid w:val="002A1AE1"/>
    <w:rsid w:val="002A1BBF"/>
    <w:rsid w:val="002A2BEC"/>
    <w:rsid w:val="002A2D2E"/>
    <w:rsid w:val="002A2D65"/>
    <w:rsid w:val="002A3BE8"/>
    <w:rsid w:val="002A4026"/>
    <w:rsid w:val="002A45FD"/>
    <w:rsid w:val="002A4D23"/>
    <w:rsid w:val="002A4D48"/>
    <w:rsid w:val="002A5833"/>
    <w:rsid w:val="002A6BD3"/>
    <w:rsid w:val="002A7093"/>
    <w:rsid w:val="002B0258"/>
    <w:rsid w:val="002B0BE3"/>
    <w:rsid w:val="002B16E7"/>
    <w:rsid w:val="002B17BB"/>
    <w:rsid w:val="002B26A6"/>
    <w:rsid w:val="002B3931"/>
    <w:rsid w:val="002B3D91"/>
    <w:rsid w:val="002B3EFA"/>
    <w:rsid w:val="002B4FDC"/>
    <w:rsid w:val="002B6B1F"/>
    <w:rsid w:val="002B6ED1"/>
    <w:rsid w:val="002B739A"/>
    <w:rsid w:val="002B76D3"/>
    <w:rsid w:val="002B7C7D"/>
    <w:rsid w:val="002B7F4B"/>
    <w:rsid w:val="002C00E8"/>
    <w:rsid w:val="002C0126"/>
    <w:rsid w:val="002C0604"/>
    <w:rsid w:val="002C1442"/>
    <w:rsid w:val="002C16A9"/>
    <w:rsid w:val="002C1BD6"/>
    <w:rsid w:val="002C26B1"/>
    <w:rsid w:val="002C2BBC"/>
    <w:rsid w:val="002C2D38"/>
    <w:rsid w:val="002C31AE"/>
    <w:rsid w:val="002C38DE"/>
    <w:rsid w:val="002C409D"/>
    <w:rsid w:val="002C7763"/>
    <w:rsid w:val="002C7B0B"/>
    <w:rsid w:val="002C7BC0"/>
    <w:rsid w:val="002D1B54"/>
    <w:rsid w:val="002D2DAC"/>
    <w:rsid w:val="002D3239"/>
    <w:rsid w:val="002D492A"/>
    <w:rsid w:val="002D79C1"/>
    <w:rsid w:val="002E000A"/>
    <w:rsid w:val="002E08C1"/>
    <w:rsid w:val="002E0C35"/>
    <w:rsid w:val="002E1C90"/>
    <w:rsid w:val="002E1CCE"/>
    <w:rsid w:val="002E2779"/>
    <w:rsid w:val="002E2C99"/>
    <w:rsid w:val="002E3997"/>
    <w:rsid w:val="002E3F82"/>
    <w:rsid w:val="002E40FF"/>
    <w:rsid w:val="002E4191"/>
    <w:rsid w:val="002E48E6"/>
    <w:rsid w:val="002E4C8B"/>
    <w:rsid w:val="002E4F32"/>
    <w:rsid w:val="002E55C3"/>
    <w:rsid w:val="002E61A0"/>
    <w:rsid w:val="002E638A"/>
    <w:rsid w:val="002E7152"/>
    <w:rsid w:val="002E73B7"/>
    <w:rsid w:val="002E776B"/>
    <w:rsid w:val="002E7DBF"/>
    <w:rsid w:val="002F00AA"/>
    <w:rsid w:val="002F085B"/>
    <w:rsid w:val="002F0D1F"/>
    <w:rsid w:val="002F1134"/>
    <w:rsid w:val="002F1950"/>
    <w:rsid w:val="002F24A2"/>
    <w:rsid w:val="002F2A92"/>
    <w:rsid w:val="002F3303"/>
    <w:rsid w:val="002F3532"/>
    <w:rsid w:val="002F3CD5"/>
    <w:rsid w:val="002F3F15"/>
    <w:rsid w:val="002F4662"/>
    <w:rsid w:val="002F5451"/>
    <w:rsid w:val="002F5B12"/>
    <w:rsid w:val="002F6376"/>
    <w:rsid w:val="002F6F05"/>
    <w:rsid w:val="002F6FF7"/>
    <w:rsid w:val="002F76C0"/>
    <w:rsid w:val="002F7FF6"/>
    <w:rsid w:val="003005B9"/>
    <w:rsid w:val="0030196E"/>
    <w:rsid w:val="00301A53"/>
    <w:rsid w:val="00301CC6"/>
    <w:rsid w:val="00302DEA"/>
    <w:rsid w:val="00303E89"/>
    <w:rsid w:val="00304C62"/>
    <w:rsid w:val="00304FF6"/>
    <w:rsid w:val="0030561E"/>
    <w:rsid w:val="0030612A"/>
    <w:rsid w:val="00306271"/>
    <w:rsid w:val="0030669E"/>
    <w:rsid w:val="003066C6"/>
    <w:rsid w:val="00306A6F"/>
    <w:rsid w:val="0030728B"/>
    <w:rsid w:val="0030730C"/>
    <w:rsid w:val="003073AB"/>
    <w:rsid w:val="003115F6"/>
    <w:rsid w:val="00311A7B"/>
    <w:rsid w:val="003123CC"/>
    <w:rsid w:val="00313FC5"/>
    <w:rsid w:val="00314117"/>
    <w:rsid w:val="003154B0"/>
    <w:rsid w:val="0031580E"/>
    <w:rsid w:val="00315AB9"/>
    <w:rsid w:val="00320C2E"/>
    <w:rsid w:val="00320F02"/>
    <w:rsid w:val="00321013"/>
    <w:rsid w:val="00321492"/>
    <w:rsid w:val="00322706"/>
    <w:rsid w:val="00322742"/>
    <w:rsid w:val="00322D12"/>
    <w:rsid w:val="003231DD"/>
    <w:rsid w:val="00323826"/>
    <w:rsid w:val="00323935"/>
    <w:rsid w:val="003245F1"/>
    <w:rsid w:val="003247AF"/>
    <w:rsid w:val="00325A0E"/>
    <w:rsid w:val="00326C08"/>
    <w:rsid w:val="00326C38"/>
    <w:rsid w:val="00326E86"/>
    <w:rsid w:val="00327F55"/>
    <w:rsid w:val="003302C1"/>
    <w:rsid w:val="003308D4"/>
    <w:rsid w:val="00331907"/>
    <w:rsid w:val="00331B08"/>
    <w:rsid w:val="003325D2"/>
    <w:rsid w:val="00332DDC"/>
    <w:rsid w:val="003334A7"/>
    <w:rsid w:val="00333ADF"/>
    <w:rsid w:val="003343E2"/>
    <w:rsid w:val="0033553C"/>
    <w:rsid w:val="00335572"/>
    <w:rsid w:val="003361C4"/>
    <w:rsid w:val="00336323"/>
    <w:rsid w:val="0033713B"/>
    <w:rsid w:val="00340210"/>
    <w:rsid w:val="003413EF"/>
    <w:rsid w:val="0034176B"/>
    <w:rsid w:val="003423D0"/>
    <w:rsid w:val="003427EC"/>
    <w:rsid w:val="00342F90"/>
    <w:rsid w:val="00343749"/>
    <w:rsid w:val="00343CB3"/>
    <w:rsid w:val="00343E0D"/>
    <w:rsid w:val="00344F6A"/>
    <w:rsid w:val="00345271"/>
    <w:rsid w:val="0034534A"/>
    <w:rsid w:val="00345678"/>
    <w:rsid w:val="00345A64"/>
    <w:rsid w:val="00346952"/>
    <w:rsid w:val="003479A8"/>
    <w:rsid w:val="00347B78"/>
    <w:rsid w:val="003524EA"/>
    <w:rsid w:val="0035422D"/>
    <w:rsid w:val="00355429"/>
    <w:rsid w:val="00355A0F"/>
    <w:rsid w:val="0035649E"/>
    <w:rsid w:val="00356520"/>
    <w:rsid w:val="003602B4"/>
    <w:rsid w:val="003603DF"/>
    <w:rsid w:val="00360F69"/>
    <w:rsid w:val="00362744"/>
    <w:rsid w:val="003632A8"/>
    <w:rsid w:val="00363AEE"/>
    <w:rsid w:val="00366065"/>
    <w:rsid w:val="003660ED"/>
    <w:rsid w:val="003663D2"/>
    <w:rsid w:val="0036672A"/>
    <w:rsid w:val="0036744A"/>
    <w:rsid w:val="003674A6"/>
    <w:rsid w:val="00367D0D"/>
    <w:rsid w:val="00370AEB"/>
    <w:rsid w:val="00370B95"/>
    <w:rsid w:val="00370C1C"/>
    <w:rsid w:val="00370E6E"/>
    <w:rsid w:val="00371265"/>
    <w:rsid w:val="003717BA"/>
    <w:rsid w:val="00371AC5"/>
    <w:rsid w:val="00371C50"/>
    <w:rsid w:val="00372279"/>
    <w:rsid w:val="00372370"/>
    <w:rsid w:val="003725C8"/>
    <w:rsid w:val="003726C2"/>
    <w:rsid w:val="00373104"/>
    <w:rsid w:val="00373865"/>
    <w:rsid w:val="00374479"/>
    <w:rsid w:val="003748C4"/>
    <w:rsid w:val="003748E8"/>
    <w:rsid w:val="00375338"/>
    <w:rsid w:val="00375872"/>
    <w:rsid w:val="00376005"/>
    <w:rsid w:val="00376484"/>
    <w:rsid w:val="00376590"/>
    <w:rsid w:val="003773C5"/>
    <w:rsid w:val="0037778C"/>
    <w:rsid w:val="0038004F"/>
    <w:rsid w:val="0038039F"/>
    <w:rsid w:val="00380E57"/>
    <w:rsid w:val="00381C36"/>
    <w:rsid w:val="0038292C"/>
    <w:rsid w:val="00382ABE"/>
    <w:rsid w:val="003833F9"/>
    <w:rsid w:val="00384E6F"/>
    <w:rsid w:val="00385303"/>
    <w:rsid w:val="0038549A"/>
    <w:rsid w:val="003864EB"/>
    <w:rsid w:val="00386E71"/>
    <w:rsid w:val="003900FA"/>
    <w:rsid w:val="00390616"/>
    <w:rsid w:val="00390D34"/>
    <w:rsid w:val="003916DA"/>
    <w:rsid w:val="00391A26"/>
    <w:rsid w:val="00391E9B"/>
    <w:rsid w:val="00391F15"/>
    <w:rsid w:val="00392BAA"/>
    <w:rsid w:val="00392FA0"/>
    <w:rsid w:val="0039330B"/>
    <w:rsid w:val="00394119"/>
    <w:rsid w:val="0039459B"/>
    <w:rsid w:val="00394EDD"/>
    <w:rsid w:val="00395575"/>
    <w:rsid w:val="00395B3B"/>
    <w:rsid w:val="00396F17"/>
    <w:rsid w:val="003973BC"/>
    <w:rsid w:val="003A028C"/>
    <w:rsid w:val="003A04DA"/>
    <w:rsid w:val="003A094E"/>
    <w:rsid w:val="003A21B7"/>
    <w:rsid w:val="003A2A3D"/>
    <w:rsid w:val="003A2AB7"/>
    <w:rsid w:val="003A4283"/>
    <w:rsid w:val="003A43B7"/>
    <w:rsid w:val="003A564F"/>
    <w:rsid w:val="003A578B"/>
    <w:rsid w:val="003A5C59"/>
    <w:rsid w:val="003A622F"/>
    <w:rsid w:val="003A66B4"/>
    <w:rsid w:val="003A6B86"/>
    <w:rsid w:val="003B0550"/>
    <w:rsid w:val="003B1B9F"/>
    <w:rsid w:val="003B1F31"/>
    <w:rsid w:val="003B2732"/>
    <w:rsid w:val="003B2F75"/>
    <w:rsid w:val="003B32E2"/>
    <w:rsid w:val="003B3BA2"/>
    <w:rsid w:val="003B4019"/>
    <w:rsid w:val="003B50B9"/>
    <w:rsid w:val="003B5435"/>
    <w:rsid w:val="003B65EE"/>
    <w:rsid w:val="003B694F"/>
    <w:rsid w:val="003B6A64"/>
    <w:rsid w:val="003B6DF6"/>
    <w:rsid w:val="003B7ED3"/>
    <w:rsid w:val="003C0559"/>
    <w:rsid w:val="003C1545"/>
    <w:rsid w:val="003C3C50"/>
    <w:rsid w:val="003C4162"/>
    <w:rsid w:val="003C4B61"/>
    <w:rsid w:val="003C637E"/>
    <w:rsid w:val="003C6B2B"/>
    <w:rsid w:val="003C6E32"/>
    <w:rsid w:val="003D0110"/>
    <w:rsid w:val="003D0E27"/>
    <w:rsid w:val="003D1F4E"/>
    <w:rsid w:val="003D28FD"/>
    <w:rsid w:val="003D29C9"/>
    <w:rsid w:val="003D3354"/>
    <w:rsid w:val="003D3377"/>
    <w:rsid w:val="003D36FD"/>
    <w:rsid w:val="003D39F0"/>
    <w:rsid w:val="003D3FBA"/>
    <w:rsid w:val="003D50EE"/>
    <w:rsid w:val="003D540E"/>
    <w:rsid w:val="003D6364"/>
    <w:rsid w:val="003D7016"/>
    <w:rsid w:val="003D73D2"/>
    <w:rsid w:val="003E0F52"/>
    <w:rsid w:val="003E11EB"/>
    <w:rsid w:val="003E221F"/>
    <w:rsid w:val="003E28AC"/>
    <w:rsid w:val="003E32D9"/>
    <w:rsid w:val="003E4015"/>
    <w:rsid w:val="003E4C93"/>
    <w:rsid w:val="003E51D4"/>
    <w:rsid w:val="003E57C1"/>
    <w:rsid w:val="003E5820"/>
    <w:rsid w:val="003E6014"/>
    <w:rsid w:val="003E60B8"/>
    <w:rsid w:val="003E615E"/>
    <w:rsid w:val="003E663C"/>
    <w:rsid w:val="003E6671"/>
    <w:rsid w:val="003E6A33"/>
    <w:rsid w:val="003E705A"/>
    <w:rsid w:val="003E7CD3"/>
    <w:rsid w:val="003F05A6"/>
    <w:rsid w:val="003F0808"/>
    <w:rsid w:val="003F0DF9"/>
    <w:rsid w:val="003F0E85"/>
    <w:rsid w:val="003F10D1"/>
    <w:rsid w:val="003F157F"/>
    <w:rsid w:val="003F165A"/>
    <w:rsid w:val="003F171C"/>
    <w:rsid w:val="003F1834"/>
    <w:rsid w:val="003F18BB"/>
    <w:rsid w:val="003F3527"/>
    <w:rsid w:val="003F35BA"/>
    <w:rsid w:val="003F3F84"/>
    <w:rsid w:val="003F4F38"/>
    <w:rsid w:val="003F562C"/>
    <w:rsid w:val="003F6F36"/>
    <w:rsid w:val="003F70D2"/>
    <w:rsid w:val="003F70F6"/>
    <w:rsid w:val="003F78FA"/>
    <w:rsid w:val="003F7988"/>
    <w:rsid w:val="0040002C"/>
    <w:rsid w:val="004013AD"/>
    <w:rsid w:val="00401645"/>
    <w:rsid w:val="00402467"/>
    <w:rsid w:val="00402CA5"/>
    <w:rsid w:val="00402D88"/>
    <w:rsid w:val="00403A0F"/>
    <w:rsid w:val="00403E1C"/>
    <w:rsid w:val="004045E0"/>
    <w:rsid w:val="004052A1"/>
    <w:rsid w:val="00405A86"/>
    <w:rsid w:val="004071CC"/>
    <w:rsid w:val="00410397"/>
    <w:rsid w:val="00411BC3"/>
    <w:rsid w:val="00412FC5"/>
    <w:rsid w:val="0041536B"/>
    <w:rsid w:val="0041549B"/>
    <w:rsid w:val="00415F11"/>
    <w:rsid w:val="004167C0"/>
    <w:rsid w:val="0041695B"/>
    <w:rsid w:val="00417DEF"/>
    <w:rsid w:val="004204A4"/>
    <w:rsid w:val="004208D0"/>
    <w:rsid w:val="00420998"/>
    <w:rsid w:val="00420EDA"/>
    <w:rsid w:val="004216B9"/>
    <w:rsid w:val="00422276"/>
    <w:rsid w:val="00422333"/>
    <w:rsid w:val="004223A1"/>
    <w:rsid w:val="00422A68"/>
    <w:rsid w:val="004242F1"/>
    <w:rsid w:val="00424860"/>
    <w:rsid w:val="00424FA1"/>
    <w:rsid w:val="004250FF"/>
    <w:rsid w:val="00425314"/>
    <w:rsid w:val="004260D2"/>
    <w:rsid w:val="00426AD9"/>
    <w:rsid w:val="0042723C"/>
    <w:rsid w:val="0042782F"/>
    <w:rsid w:val="00430707"/>
    <w:rsid w:val="00430890"/>
    <w:rsid w:val="00431662"/>
    <w:rsid w:val="00431CDC"/>
    <w:rsid w:val="00432E22"/>
    <w:rsid w:val="004336A6"/>
    <w:rsid w:val="004338CF"/>
    <w:rsid w:val="00433DBD"/>
    <w:rsid w:val="00434150"/>
    <w:rsid w:val="004356C5"/>
    <w:rsid w:val="004358EE"/>
    <w:rsid w:val="00435ECD"/>
    <w:rsid w:val="004360FB"/>
    <w:rsid w:val="00436125"/>
    <w:rsid w:val="00436BB7"/>
    <w:rsid w:val="00437E66"/>
    <w:rsid w:val="004402D1"/>
    <w:rsid w:val="0044106D"/>
    <w:rsid w:val="0044194A"/>
    <w:rsid w:val="00441FCC"/>
    <w:rsid w:val="00442062"/>
    <w:rsid w:val="00442A3F"/>
    <w:rsid w:val="0044358A"/>
    <w:rsid w:val="004438AA"/>
    <w:rsid w:val="0044489F"/>
    <w:rsid w:val="004458A5"/>
    <w:rsid w:val="00445A00"/>
    <w:rsid w:val="00445D07"/>
    <w:rsid w:val="00446083"/>
    <w:rsid w:val="00446776"/>
    <w:rsid w:val="004467F7"/>
    <w:rsid w:val="00447919"/>
    <w:rsid w:val="00450119"/>
    <w:rsid w:val="0045096D"/>
    <w:rsid w:val="00450C00"/>
    <w:rsid w:val="00451B0F"/>
    <w:rsid w:val="00452C3B"/>
    <w:rsid w:val="00453584"/>
    <w:rsid w:val="004575D3"/>
    <w:rsid w:val="00457A02"/>
    <w:rsid w:val="00460D01"/>
    <w:rsid w:val="00461804"/>
    <w:rsid w:val="004620DF"/>
    <w:rsid w:val="00462EE2"/>
    <w:rsid w:val="00463D22"/>
    <w:rsid w:val="0046737C"/>
    <w:rsid w:val="00467F27"/>
    <w:rsid w:val="004701C8"/>
    <w:rsid w:val="004702C0"/>
    <w:rsid w:val="00471A82"/>
    <w:rsid w:val="00474113"/>
    <w:rsid w:val="00474250"/>
    <w:rsid w:val="00474438"/>
    <w:rsid w:val="00474468"/>
    <w:rsid w:val="0047623C"/>
    <w:rsid w:val="00476C1E"/>
    <w:rsid w:val="00476F7D"/>
    <w:rsid w:val="00477E2F"/>
    <w:rsid w:val="00477EB8"/>
    <w:rsid w:val="00480013"/>
    <w:rsid w:val="0048163D"/>
    <w:rsid w:val="00481BE2"/>
    <w:rsid w:val="00482FBA"/>
    <w:rsid w:val="00484C15"/>
    <w:rsid w:val="00485239"/>
    <w:rsid w:val="00491B4A"/>
    <w:rsid w:val="00492032"/>
    <w:rsid w:val="0049397C"/>
    <w:rsid w:val="00495190"/>
    <w:rsid w:val="00495D19"/>
    <w:rsid w:val="00496A10"/>
    <w:rsid w:val="00497686"/>
    <w:rsid w:val="004A027A"/>
    <w:rsid w:val="004A14C0"/>
    <w:rsid w:val="004A1905"/>
    <w:rsid w:val="004A234C"/>
    <w:rsid w:val="004A3127"/>
    <w:rsid w:val="004A368D"/>
    <w:rsid w:val="004A36C3"/>
    <w:rsid w:val="004A3843"/>
    <w:rsid w:val="004A3A3B"/>
    <w:rsid w:val="004A453E"/>
    <w:rsid w:val="004A46E2"/>
    <w:rsid w:val="004A5AE5"/>
    <w:rsid w:val="004A5DA6"/>
    <w:rsid w:val="004A6578"/>
    <w:rsid w:val="004A6A6D"/>
    <w:rsid w:val="004A72CC"/>
    <w:rsid w:val="004A78CE"/>
    <w:rsid w:val="004A78DF"/>
    <w:rsid w:val="004B18EC"/>
    <w:rsid w:val="004B2665"/>
    <w:rsid w:val="004B3761"/>
    <w:rsid w:val="004B3DE6"/>
    <w:rsid w:val="004B554A"/>
    <w:rsid w:val="004B64B4"/>
    <w:rsid w:val="004B7457"/>
    <w:rsid w:val="004B7F10"/>
    <w:rsid w:val="004C0019"/>
    <w:rsid w:val="004C0D67"/>
    <w:rsid w:val="004C1D5E"/>
    <w:rsid w:val="004C1FA1"/>
    <w:rsid w:val="004C2758"/>
    <w:rsid w:val="004C2EE3"/>
    <w:rsid w:val="004C4005"/>
    <w:rsid w:val="004C4872"/>
    <w:rsid w:val="004C4A04"/>
    <w:rsid w:val="004C4E74"/>
    <w:rsid w:val="004C5027"/>
    <w:rsid w:val="004C527B"/>
    <w:rsid w:val="004C556F"/>
    <w:rsid w:val="004C6E59"/>
    <w:rsid w:val="004C75CC"/>
    <w:rsid w:val="004C772A"/>
    <w:rsid w:val="004D017E"/>
    <w:rsid w:val="004D0B76"/>
    <w:rsid w:val="004D25E9"/>
    <w:rsid w:val="004D29E1"/>
    <w:rsid w:val="004D2A34"/>
    <w:rsid w:val="004D3914"/>
    <w:rsid w:val="004D3DE5"/>
    <w:rsid w:val="004D4EBE"/>
    <w:rsid w:val="004D5273"/>
    <w:rsid w:val="004D5BD8"/>
    <w:rsid w:val="004D6846"/>
    <w:rsid w:val="004D6940"/>
    <w:rsid w:val="004D6E16"/>
    <w:rsid w:val="004D707C"/>
    <w:rsid w:val="004D719D"/>
    <w:rsid w:val="004D78ED"/>
    <w:rsid w:val="004E05AA"/>
    <w:rsid w:val="004E0644"/>
    <w:rsid w:val="004E0701"/>
    <w:rsid w:val="004E073E"/>
    <w:rsid w:val="004E37BE"/>
    <w:rsid w:val="004E3DFC"/>
    <w:rsid w:val="004E4A22"/>
    <w:rsid w:val="004E68AC"/>
    <w:rsid w:val="004E6921"/>
    <w:rsid w:val="004E72E3"/>
    <w:rsid w:val="004E732D"/>
    <w:rsid w:val="004E7341"/>
    <w:rsid w:val="004E74D6"/>
    <w:rsid w:val="004E74F6"/>
    <w:rsid w:val="004F05B6"/>
    <w:rsid w:val="004F088D"/>
    <w:rsid w:val="004F0992"/>
    <w:rsid w:val="004F131D"/>
    <w:rsid w:val="004F18E4"/>
    <w:rsid w:val="004F2AF8"/>
    <w:rsid w:val="004F31A3"/>
    <w:rsid w:val="004F3540"/>
    <w:rsid w:val="004F4E2D"/>
    <w:rsid w:val="004F5CA6"/>
    <w:rsid w:val="004F66E4"/>
    <w:rsid w:val="004F6C71"/>
    <w:rsid w:val="004F7301"/>
    <w:rsid w:val="00501CCD"/>
    <w:rsid w:val="00501D24"/>
    <w:rsid w:val="00503ABE"/>
    <w:rsid w:val="00504F4C"/>
    <w:rsid w:val="005050AD"/>
    <w:rsid w:val="00506286"/>
    <w:rsid w:val="005079EE"/>
    <w:rsid w:val="00507BF5"/>
    <w:rsid w:val="00511968"/>
    <w:rsid w:val="00512401"/>
    <w:rsid w:val="00512527"/>
    <w:rsid w:val="00512563"/>
    <w:rsid w:val="0051326D"/>
    <w:rsid w:val="00513CD6"/>
    <w:rsid w:val="005153B0"/>
    <w:rsid w:val="00516993"/>
    <w:rsid w:val="00520284"/>
    <w:rsid w:val="00521CE9"/>
    <w:rsid w:val="005222B3"/>
    <w:rsid w:val="0052296E"/>
    <w:rsid w:val="0052375A"/>
    <w:rsid w:val="00523833"/>
    <w:rsid w:val="005240D8"/>
    <w:rsid w:val="00524607"/>
    <w:rsid w:val="005247E6"/>
    <w:rsid w:val="00524B00"/>
    <w:rsid w:val="00525B0F"/>
    <w:rsid w:val="00525E2D"/>
    <w:rsid w:val="005260D2"/>
    <w:rsid w:val="0053026E"/>
    <w:rsid w:val="00530CA6"/>
    <w:rsid w:val="00531407"/>
    <w:rsid w:val="00531540"/>
    <w:rsid w:val="0053182D"/>
    <w:rsid w:val="00531BE1"/>
    <w:rsid w:val="00532715"/>
    <w:rsid w:val="00532B0F"/>
    <w:rsid w:val="00533129"/>
    <w:rsid w:val="00533444"/>
    <w:rsid w:val="0053384C"/>
    <w:rsid w:val="005339C8"/>
    <w:rsid w:val="00533B3D"/>
    <w:rsid w:val="00534B1E"/>
    <w:rsid w:val="00535198"/>
    <w:rsid w:val="005351DF"/>
    <w:rsid w:val="00535DD6"/>
    <w:rsid w:val="00536D6B"/>
    <w:rsid w:val="00536DB0"/>
    <w:rsid w:val="00537523"/>
    <w:rsid w:val="00540790"/>
    <w:rsid w:val="00540F06"/>
    <w:rsid w:val="005421CD"/>
    <w:rsid w:val="0054272E"/>
    <w:rsid w:val="00542B18"/>
    <w:rsid w:val="0054327F"/>
    <w:rsid w:val="00543793"/>
    <w:rsid w:val="00543991"/>
    <w:rsid w:val="00544251"/>
    <w:rsid w:val="00544707"/>
    <w:rsid w:val="005456F7"/>
    <w:rsid w:val="00545784"/>
    <w:rsid w:val="005509E7"/>
    <w:rsid w:val="00551AF1"/>
    <w:rsid w:val="00552B08"/>
    <w:rsid w:val="0055351E"/>
    <w:rsid w:val="005541F7"/>
    <w:rsid w:val="00554C62"/>
    <w:rsid w:val="00555068"/>
    <w:rsid w:val="0055569F"/>
    <w:rsid w:val="0055614C"/>
    <w:rsid w:val="0055779E"/>
    <w:rsid w:val="005603D1"/>
    <w:rsid w:val="00560DCF"/>
    <w:rsid w:val="00561FE3"/>
    <w:rsid w:val="0056224A"/>
    <w:rsid w:val="0056306C"/>
    <w:rsid w:val="00563102"/>
    <w:rsid w:val="005641B3"/>
    <w:rsid w:val="005659FD"/>
    <w:rsid w:val="00567E59"/>
    <w:rsid w:val="00570062"/>
    <w:rsid w:val="00570C58"/>
    <w:rsid w:val="00570D36"/>
    <w:rsid w:val="00571F0A"/>
    <w:rsid w:val="0057238A"/>
    <w:rsid w:val="005725E4"/>
    <w:rsid w:val="0057309D"/>
    <w:rsid w:val="00573AA6"/>
    <w:rsid w:val="00573E16"/>
    <w:rsid w:val="00573E46"/>
    <w:rsid w:val="00573E94"/>
    <w:rsid w:val="005744CE"/>
    <w:rsid w:val="00576421"/>
    <w:rsid w:val="00576C3A"/>
    <w:rsid w:val="00577081"/>
    <w:rsid w:val="0057741B"/>
    <w:rsid w:val="00580604"/>
    <w:rsid w:val="005830AE"/>
    <w:rsid w:val="00583156"/>
    <w:rsid w:val="00583CB5"/>
    <w:rsid w:val="00584491"/>
    <w:rsid w:val="0058508B"/>
    <w:rsid w:val="00585613"/>
    <w:rsid w:val="005863D5"/>
    <w:rsid w:val="0058703F"/>
    <w:rsid w:val="00587858"/>
    <w:rsid w:val="00587FAF"/>
    <w:rsid w:val="005906B1"/>
    <w:rsid w:val="00591755"/>
    <w:rsid w:val="00591C07"/>
    <w:rsid w:val="005920A9"/>
    <w:rsid w:val="0059434F"/>
    <w:rsid w:val="0059454C"/>
    <w:rsid w:val="0059583A"/>
    <w:rsid w:val="005959F3"/>
    <w:rsid w:val="0059633F"/>
    <w:rsid w:val="00596948"/>
    <w:rsid w:val="00597AAD"/>
    <w:rsid w:val="005A034F"/>
    <w:rsid w:val="005A051E"/>
    <w:rsid w:val="005A0F92"/>
    <w:rsid w:val="005A1D5B"/>
    <w:rsid w:val="005A2736"/>
    <w:rsid w:val="005A3422"/>
    <w:rsid w:val="005A34B2"/>
    <w:rsid w:val="005A37D3"/>
    <w:rsid w:val="005A3981"/>
    <w:rsid w:val="005A3B06"/>
    <w:rsid w:val="005A522E"/>
    <w:rsid w:val="005A559F"/>
    <w:rsid w:val="005A664A"/>
    <w:rsid w:val="005A6F0A"/>
    <w:rsid w:val="005A70A5"/>
    <w:rsid w:val="005A7627"/>
    <w:rsid w:val="005A7A32"/>
    <w:rsid w:val="005A7EFD"/>
    <w:rsid w:val="005B001B"/>
    <w:rsid w:val="005B056D"/>
    <w:rsid w:val="005B0732"/>
    <w:rsid w:val="005B0C24"/>
    <w:rsid w:val="005B263F"/>
    <w:rsid w:val="005B3EF5"/>
    <w:rsid w:val="005B4A4E"/>
    <w:rsid w:val="005B5476"/>
    <w:rsid w:val="005B5B2D"/>
    <w:rsid w:val="005B6825"/>
    <w:rsid w:val="005B694D"/>
    <w:rsid w:val="005B6D66"/>
    <w:rsid w:val="005B7209"/>
    <w:rsid w:val="005B724D"/>
    <w:rsid w:val="005C0AEE"/>
    <w:rsid w:val="005C3326"/>
    <w:rsid w:val="005C4957"/>
    <w:rsid w:val="005C5197"/>
    <w:rsid w:val="005C5874"/>
    <w:rsid w:val="005C5E28"/>
    <w:rsid w:val="005C6E83"/>
    <w:rsid w:val="005C7198"/>
    <w:rsid w:val="005C78E7"/>
    <w:rsid w:val="005C7997"/>
    <w:rsid w:val="005C7A4C"/>
    <w:rsid w:val="005C7CEB"/>
    <w:rsid w:val="005C7D01"/>
    <w:rsid w:val="005D0780"/>
    <w:rsid w:val="005D1D7F"/>
    <w:rsid w:val="005D20AC"/>
    <w:rsid w:val="005D23B9"/>
    <w:rsid w:val="005D44A3"/>
    <w:rsid w:val="005D467C"/>
    <w:rsid w:val="005D4713"/>
    <w:rsid w:val="005D4AF5"/>
    <w:rsid w:val="005D520C"/>
    <w:rsid w:val="005D5260"/>
    <w:rsid w:val="005D5729"/>
    <w:rsid w:val="005D69E4"/>
    <w:rsid w:val="005D7997"/>
    <w:rsid w:val="005E0FDD"/>
    <w:rsid w:val="005E11B2"/>
    <w:rsid w:val="005E14C2"/>
    <w:rsid w:val="005E197D"/>
    <w:rsid w:val="005E1F92"/>
    <w:rsid w:val="005E2087"/>
    <w:rsid w:val="005E226E"/>
    <w:rsid w:val="005E3C0A"/>
    <w:rsid w:val="005E3F47"/>
    <w:rsid w:val="005E5838"/>
    <w:rsid w:val="005E7167"/>
    <w:rsid w:val="005E76F4"/>
    <w:rsid w:val="005F0B56"/>
    <w:rsid w:val="005F1DA3"/>
    <w:rsid w:val="005F4130"/>
    <w:rsid w:val="005F415A"/>
    <w:rsid w:val="005F4190"/>
    <w:rsid w:val="005F4648"/>
    <w:rsid w:val="005F4942"/>
    <w:rsid w:val="005F4EC9"/>
    <w:rsid w:val="005F5157"/>
    <w:rsid w:val="005F518D"/>
    <w:rsid w:val="005F557A"/>
    <w:rsid w:val="005F6AD4"/>
    <w:rsid w:val="005F714B"/>
    <w:rsid w:val="005F79BF"/>
    <w:rsid w:val="006009E8"/>
    <w:rsid w:val="00601C97"/>
    <w:rsid w:val="00602080"/>
    <w:rsid w:val="0060345D"/>
    <w:rsid w:val="00603C35"/>
    <w:rsid w:val="00604212"/>
    <w:rsid w:val="0060507E"/>
    <w:rsid w:val="006050E8"/>
    <w:rsid w:val="0060535E"/>
    <w:rsid w:val="00605AA2"/>
    <w:rsid w:val="00605AC5"/>
    <w:rsid w:val="00605AD3"/>
    <w:rsid w:val="00607BA5"/>
    <w:rsid w:val="00607F7D"/>
    <w:rsid w:val="006101FA"/>
    <w:rsid w:val="0061180A"/>
    <w:rsid w:val="00612A0A"/>
    <w:rsid w:val="00612F5B"/>
    <w:rsid w:val="0061312E"/>
    <w:rsid w:val="006135FF"/>
    <w:rsid w:val="00613EBA"/>
    <w:rsid w:val="006146F3"/>
    <w:rsid w:val="0061477B"/>
    <w:rsid w:val="00615AC5"/>
    <w:rsid w:val="00615FD1"/>
    <w:rsid w:val="006177E3"/>
    <w:rsid w:val="006209B7"/>
    <w:rsid w:val="00620E2B"/>
    <w:rsid w:val="00620ED7"/>
    <w:rsid w:val="00621AA2"/>
    <w:rsid w:val="00621BF4"/>
    <w:rsid w:val="00622177"/>
    <w:rsid w:val="00622281"/>
    <w:rsid w:val="00622847"/>
    <w:rsid w:val="00622879"/>
    <w:rsid w:val="006228C2"/>
    <w:rsid w:val="006237DC"/>
    <w:rsid w:val="00624F0A"/>
    <w:rsid w:val="006253EB"/>
    <w:rsid w:val="006260C6"/>
    <w:rsid w:val="00626EB6"/>
    <w:rsid w:val="006279F7"/>
    <w:rsid w:val="0063086A"/>
    <w:rsid w:val="006315E4"/>
    <w:rsid w:val="00631EF1"/>
    <w:rsid w:val="00633AED"/>
    <w:rsid w:val="00633E50"/>
    <w:rsid w:val="006348BA"/>
    <w:rsid w:val="006349ED"/>
    <w:rsid w:val="00634D70"/>
    <w:rsid w:val="00635214"/>
    <w:rsid w:val="00637578"/>
    <w:rsid w:val="006410E0"/>
    <w:rsid w:val="00641288"/>
    <w:rsid w:val="00641879"/>
    <w:rsid w:val="006422D7"/>
    <w:rsid w:val="006437DE"/>
    <w:rsid w:val="00645750"/>
    <w:rsid w:val="00645961"/>
    <w:rsid w:val="00645C59"/>
    <w:rsid w:val="006463D7"/>
    <w:rsid w:val="00646653"/>
    <w:rsid w:val="00646AF4"/>
    <w:rsid w:val="00646DBE"/>
    <w:rsid w:val="00646F9F"/>
    <w:rsid w:val="00647DE5"/>
    <w:rsid w:val="006502DD"/>
    <w:rsid w:val="0065068A"/>
    <w:rsid w:val="006509C1"/>
    <w:rsid w:val="00652768"/>
    <w:rsid w:val="00652D4D"/>
    <w:rsid w:val="00653631"/>
    <w:rsid w:val="006550D3"/>
    <w:rsid w:val="0065577E"/>
    <w:rsid w:val="00655D03"/>
    <w:rsid w:val="006563E1"/>
    <w:rsid w:val="00660956"/>
    <w:rsid w:val="00661103"/>
    <w:rsid w:val="006613C9"/>
    <w:rsid w:val="006618AA"/>
    <w:rsid w:val="006619CE"/>
    <w:rsid w:val="00661D4D"/>
    <w:rsid w:val="0066245B"/>
    <w:rsid w:val="00662B01"/>
    <w:rsid w:val="00662D1C"/>
    <w:rsid w:val="0066375C"/>
    <w:rsid w:val="00664818"/>
    <w:rsid w:val="006654C6"/>
    <w:rsid w:val="00665BE6"/>
    <w:rsid w:val="00666F2E"/>
    <w:rsid w:val="0066743D"/>
    <w:rsid w:val="00667C50"/>
    <w:rsid w:val="0067062F"/>
    <w:rsid w:val="00671EB1"/>
    <w:rsid w:val="0067292D"/>
    <w:rsid w:val="00673119"/>
    <w:rsid w:val="00673F1A"/>
    <w:rsid w:val="00674463"/>
    <w:rsid w:val="00675072"/>
    <w:rsid w:val="006753A3"/>
    <w:rsid w:val="00675F8F"/>
    <w:rsid w:val="006760BD"/>
    <w:rsid w:val="00676593"/>
    <w:rsid w:val="006767F9"/>
    <w:rsid w:val="00676B99"/>
    <w:rsid w:val="00677B96"/>
    <w:rsid w:val="0068012F"/>
    <w:rsid w:val="00680531"/>
    <w:rsid w:val="0068082C"/>
    <w:rsid w:val="00680E0D"/>
    <w:rsid w:val="0068112E"/>
    <w:rsid w:val="00681831"/>
    <w:rsid w:val="00681C70"/>
    <w:rsid w:val="006828B6"/>
    <w:rsid w:val="00683388"/>
    <w:rsid w:val="00683F84"/>
    <w:rsid w:val="0068588E"/>
    <w:rsid w:val="006860BE"/>
    <w:rsid w:val="006867E2"/>
    <w:rsid w:val="00686B69"/>
    <w:rsid w:val="00686D3D"/>
    <w:rsid w:val="00687D3F"/>
    <w:rsid w:val="0069005D"/>
    <w:rsid w:val="006917B1"/>
    <w:rsid w:val="00691E82"/>
    <w:rsid w:val="0069270E"/>
    <w:rsid w:val="00695347"/>
    <w:rsid w:val="006958AA"/>
    <w:rsid w:val="0069633E"/>
    <w:rsid w:val="00696E53"/>
    <w:rsid w:val="006979B9"/>
    <w:rsid w:val="006A015E"/>
    <w:rsid w:val="006A0654"/>
    <w:rsid w:val="006A1AFD"/>
    <w:rsid w:val="006A1B21"/>
    <w:rsid w:val="006A1F22"/>
    <w:rsid w:val="006A233D"/>
    <w:rsid w:val="006A2595"/>
    <w:rsid w:val="006A2C67"/>
    <w:rsid w:val="006A35CD"/>
    <w:rsid w:val="006A3647"/>
    <w:rsid w:val="006A40EC"/>
    <w:rsid w:val="006A5090"/>
    <w:rsid w:val="006A5B9D"/>
    <w:rsid w:val="006A6A81"/>
    <w:rsid w:val="006A6B26"/>
    <w:rsid w:val="006A7F73"/>
    <w:rsid w:val="006A7FB8"/>
    <w:rsid w:val="006B04D2"/>
    <w:rsid w:val="006B0D9E"/>
    <w:rsid w:val="006B1520"/>
    <w:rsid w:val="006B21A8"/>
    <w:rsid w:val="006B46AB"/>
    <w:rsid w:val="006B4F3E"/>
    <w:rsid w:val="006B5332"/>
    <w:rsid w:val="006B6952"/>
    <w:rsid w:val="006B785C"/>
    <w:rsid w:val="006C0694"/>
    <w:rsid w:val="006C11DB"/>
    <w:rsid w:val="006C1841"/>
    <w:rsid w:val="006C1852"/>
    <w:rsid w:val="006C1E2C"/>
    <w:rsid w:val="006C233D"/>
    <w:rsid w:val="006C38B8"/>
    <w:rsid w:val="006C4771"/>
    <w:rsid w:val="006C4E49"/>
    <w:rsid w:val="006C5700"/>
    <w:rsid w:val="006C648D"/>
    <w:rsid w:val="006C7064"/>
    <w:rsid w:val="006C7605"/>
    <w:rsid w:val="006C7DB8"/>
    <w:rsid w:val="006D0B8D"/>
    <w:rsid w:val="006D19FC"/>
    <w:rsid w:val="006D2675"/>
    <w:rsid w:val="006D364E"/>
    <w:rsid w:val="006D3DD6"/>
    <w:rsid w:val="006D4221"/>
    <w:rsid w:val="006D4B84"/>
    <w:rsid w:val="006D53F5"/>
    <w:rsid w:val="006D5E80"/>
    <w:rsid w:val="006D678F"/>
    <w:rsid w:val="006D6ACF"/>
    <w:rsid w:val="006D7E84"/>
    <w:rsid w:val="006E0DFC"/>
    <w:rsid w:val="006E124B"/>
    <w:rsid w:val="006E1D57"/>
    <w:rsid w:val="006E1E69"/>
    <w:rsid w:val="006E2594"/>
    <w:rsid w:val="006E2ED0"/>
    <w:rsid w:val="006E30F3"/>
    <w:rsid w:val="006E3852"/>
    <w:rsid w:val="006E50A2"/>
    <w:rsid w:val="006E6924"/>
    <w:rsid w:val="006E779F"/>
    <w:rsid w:val="006F311E"/>
    <w:rsid w:val="006F4F95"/>
    <w:rsid w:val="006F55F8"/>
    <w:rsid w:val="006F612C"/>
    <w:rsid w:val="006F6E4A"/>
    <w:rsid w:val="006F718C"/>
    <w:rsid w:val="006F7393"/>
    <w:rsid w:val="006F794D"/>
    <w:rsid w:val="006F7BD9"/>
    <w:rsid w:val="00700B9F"/>
    <w:rsid w:val="00701086"/>
    <w:rsid w:val="00701C3E"/>
    <w:rsid w:val="0070224F"/>
    <w:rsid w:val="0070425A"/>
    <w:rsid w:val="00704F66"/>
    <w:rsid w:val="00705953"/>
    <w:rsid w:val="007059D4"/>
    <w:rsid w:val="007067E6"/>
    <w:rsid w:val="007079E1"/>
    <w:rsid w:val="007101F3"/>
    <w:rsid w:val="0071138A"/>
    <w:rsid w:val="007115F7"/>
    <w:rsid w:val="00712071"/>
    <w:rsid w:val="007131AE"/>
    <w:rsid w:val="00713410"/>
    <w:rsid w:val="007142C7"/>
    <w:rsid w:val="007143F7"/>
    <w:rsid w:val="007146C8"/>
    <w:rsid w:val="0071578A"/>
    <w:rsid w:val="00715922"/>
    <w:rsid w:val="0071741C"/>
    <w:rsid w:val="00717A97"/>
    <w:rsid w:val="007204AC"/>
    <w:rsid w:val="007208B3"/>
    <w:rsid w:val="0072188E"/>
    <w:rsid w:val="00723782"/>
    <w:rsid w:val="00723FB6"/>
    <w:rsid w:val="00724D9F"/>
    <w:rsid w:val="00725509"/>
    <w:rsid w:val="00727E09"/>
    <w:rsid w:val="0073038D"/>
    <w:rsid w:val="00730B4F"/>
    <w:rsid w:val="0073313A"/>
    <w:rsid w:val="00733AFF"/>
    <w:rsid w:val="00734D46"/>
    <w:rsid w:val="00735982"/>
    <w:rsid w:val="00735E3C"/>
    <w:rsid w:val="007364FA"/>
    <w:rsid w:val="007365B3"/>
    <w:rsid w:val="00736D7B"/>
    <w:rsid w:val="00737267"/>
    <w:rsid w:val="00737BC1"/>
    <w:rsid w:val="007411BC"/>
    <w:rsid w:val="00741EF1"/>
    <w:rsid w:val="00742208"/>
    <w:rsid w:val="00742A86"/>
    <w:rsid w:val="007437EF"/>
    <w:rsid w:val="00743DB3"/>
    <w:rsid w:val="00744964"/>
    <w:rsid w:val="00746016"/>
    <w:rsid w:val="00746737"/>
    <w:rsid w:val="007472F0"/>
    <w:rsid w:val="007475A1"/>
    <w:rsid w:val="00747767"/>
    <w:rsid w:val="00752AAD"/>
    <w:rsid w:val="00752FFC"/>
    <w:rsid w:val="00753A52"/>
    <w:rsid w:val="00753E3A"/>
    <w:rsid w:val="00753EA4"/>
    <w:rsid w:val="00754739"/>
    <w:rsid w:val="007549D7"/>
    <w:rsid w:val="0075597C"/>
    <w:rsid w:val="007559EA"/>
    <w:rsid w:val="00756E78"/>
    <w:rsid w:val="007570AD"/>
    <w:rsid w:val="0075737F"/>
    <w:rsid w:val="007615D2"/>
    <w:rsid w:val="007629F9"/>
    <w:rsid w:val="00763239"/>
    <w:rsid w:val="007634BC"/>
    <w:rsid w:val="007636C2"/>
    <w:rsid w:val="007649F9"/>
    <w:rsid w:val="007651B4"/>
    <w:rsid w:val="007656C7"/>
    <w:rsid w:val="007657B5"/>
    <w:rsid w:val="00765D68"/>
    <w:rsid w:val="00765F78"/>
    <w:rsid w:val="00766353"/>
    <w:rsid w:val="00767367"/>
    <w:rsid w:val="00767493"/>
    <w:rsid w:val="007712FE"/>
    <w:rsid w:val="00771D59"/>
    <w:rsid w:val="00771FD5"/>
    <w:rsid w:val="00773D69"/>
    <w:rsid w:val="007749B1"/>
    <w:rsid w:val="00775C57"/>
    <w:rsid w:val="00776133"/>
    <w:rsid w:val="00776B79"/>
    <w:rsid w:val="007771F1"/>
    <w:rsid w:val="0078123E"/>
    <w:rsid w:val="00781AE4"/>
    <w:rsid w:val="00782167"/>
    <w:rsid w:val="00784A8A"/>
    <w:rsid w:val="00785689"/>
    <w:rsid w:val="00785B02"/>
    <w:rsid w:val="0078698B"/>
    <w:rsid w:val="007869BC"/>
    <w:rsid w:val="00786B2D"/>
    <w:rsid w:val="00786CCB"/>
    <w:rsid w:val="00790415"/>
    <w:rsid w:val="007912A9"/>
    <w:rsid w:val="0079216B"/>
    <w:rsid w:val="007929F4"/>
    <w:rsid w:val="00793052"/>
    <w:rsid w:val="007943A6"/>
    <w:rsid w:val="0079576F"/>
    <w:rsid w:val="00795AAE"/>
    <w:rsid w:val="00796AE5"/>
    <w:rsid w:val="0079754B"/>
    <w:rsid w:val="007976A4"/>
    <w:rsid w:val="007A06E4"/>
    <w:rsid w:val="007A06E5"/>
    <w:rsid w:val="007A13E8"/>
    <w:rsid w:val="007A1917"/>
    <w:rsid w:val="007A1E6D"/>
    <w:rsid w:val="007A3FA2"/>
    <w:rsid w:val="007A4AAA"/>
    <w:rsid w:val="007A5E34"/>
    <w:rsid w:val="007A78E2"/>
    <w:rsid w:val="007A7B1C"/>
    <w:rsid w:val="007A7BE2"/>
    <w:rsid w:val="007B0EB2"/>
    <w:rsid w:val="007B112A"/>
    <w:rsid w:val="007B40CC"/>
    <w:rsid w:val="007B56AB"/>
    <w:rsid w:val="007B5CB4"/>
    <w:rsid w:val="007B7935"/>
    <w:rsid w:val="007B7E3D"/>
    <w:rsid w:val="007C095B"/>
    <w:rsid w:val="007C141E"/>
    <w:rsid w:val="007C1643"/>
    <w:rsid w:val="007C2107"/>
    <w:rsid w:val="007C3082"/>
    <w:rsid w:val="007C32C7"/>
    <w:rsid w:val="007C335E"/>
    <w:rsid w:val="007C41B4"/>
    <w:rsid w:val="007C4519"/>
    <w:rsid w:val="007C4939"/>
    <w:rsid w:val="007C69BC"/>
    <w:rsid w:val="007C7A42"/>
    <w:rsid w:val="007D053B"/>
    <w:rsid w:val="007D07A7"/>
    <w:rsid w:val="007D07DD"/>
    <w:rsid w:val="007D197F"/>
    <w:rsid w:val="007D2C75"/>
    <w:rsid w:val="007D3768"/>
    <w:rsid w:val="007D3CDA"/>
    <w:rsid w:val="007D4317"/>
    <w:rsid w:val="007D48B8"/>
    <w:rsid w:val="007D5A6B"/>
    <w:rsid w:val="007D5C30"/>
    <w:rsid w:val="007D66BC"/>
    <w:rsid w:val="007D6786"/>
    <w:rsid w:val="007D6EDE"/>
    <w:rsid w:val="007D7264"/>
    <w:rsid w:val="007D7D45"/>
    <w:rsid w:val="007E00A1"/>
    <w:rsid w:val="007E0857"/>
    <w:rsid w:val="007E0F12"/>
    <w:rsid w:val="007E119E"/>
    <w:rsid w:val="007E122C"/>
    <w:rsid w:val="007E1EA4"/>
    <w:rsid w:val="007E36FB"/>
    <w:rsid w:val="007E3D90"/>
    <w:rsid w:val="007E45FA"/>
    <w:rsid w:val="007E492A"/>
    <w:rsid w:val="007E4EC0"/>
    <w:rsid w:val="007E5106"/>
    <w:rsid w:val="007E53B2"/>
    <w:rsid w:val="007E6F27"/>
    <w:rsid w:val="007E70C0"/>
    <w:rsid w:val="007E734E"/>
    <w:rsid w:val="007E7A21"/>
    <w:rsid w:val="007E7EC9"/>
    <w:rsid w:val="007E7F78"/>
    <w:rsid w:val="007F03F5"/>
    <w:rsid w:val="007F2BE8"/>
    <w:rsid w:val="007F2DED"/>
    <w:rsid w:val="007F3721"/>
    <w:rsid w:val="007F4A73"/>
    <w:rsid w:val="007F4EE0"/>
    <w:rsid w:val="007F5B07"/>
    <w:rsid w:val="007F5E3F"/>
    <w:rsid w:val="0080059D"/>
    <w:rsid w:val="00800ABD"/>
    <w:rsid w:val="00800B46"/>
    <w:rsid w:val="0080117C"/>
    <w:rsid w:val="00803521"/>
    <w:rsid w:val="00803B4B"/>
    <w:rsid w:val="00803F73"/>
    <w:rsid w:val="008045E5"/>
    <w:rsid w:val="00805009"/>
    <w:rsid w:val="008055EC"/>
    <w:rsid w:val="00805C55"/>
    <w:rsid w:val="008062C2"/>
    <w:rsid w:val="008078BF"/>
    <w:rsid w:val="008078C3"/>
    <w:rsid w:val="00810ABE"/>
    <w:rsid w:val="00810B6F"/>
    <w:rsid w:val="00811541"/>
    <w:rsid w:val="0081158D"/>
    <w:rsid w:val="00811F30"/>
    <w:rsid w:val="00812568"/>
    <w:rsid w:val="008132CC"/>
    <w:rsid w:val="008135DE"/>
    <w:rsid w:val="0081695E"/>
    <w:rsid w:val="00817496"/>
    <w:rsid w:val="00817808"/>
    <w:rsid w:val="00820ADC"/>
    <w:rsid w:val="00821003"/>
    <w:rsid w:val="00821646"/>
    <w:rsid w:val="00821A8D"/>
    <w:rsid w:val="008220FF"/>
    <w:rsid w:val="00822CE0"/>
    <w:rsid w:val="00823E10"/>
    <w:rsid w:val="0082484D"/>
    <w:rsid w:val="00824968"/>
    <w:rsid w:val="008255FE"/>
    <w:rsid w:val="00825C55"/>
    <w:rsid w:val="008306F8"/>
    <w:rsid w:val="00830B3B"/>
    <w:rsid w:val="00831B43"/>
    <w:rsid w:val="00831CDC"/>
    <w:rsid w:val="008322BD"/>
    <w:rsid w:val="00832610"/>
    <w:rsid w:val="00832EAB"/>
    <w:rsid w:val="00834387"/>
    <w:rsid w:val="008348D6"/>
    <w:rsid w:val="00834AFF"/>
    <w:rsid w:val="00834E98"/>
    <w:rsid w:val="0083524B"/>
    <w:rsid w:val="008353F1"/>
    <w:rsid w:val="008355E4"/>
    <w:rsid w:val="00835B40"/>
    <w:rsid w:val="00836738"/>
    <w:rsid w:val="00836ECD"/>
    <w:rsid w:val="00837444"/>
    <w:rsid w:val="00837804"/>
    <w:rsid w:val="00837932"/>
    <w:rsid w:val="00837E77"/>
    <w:rsid w:val="0084002F"/>
    <w:rsid w:val="00841751"/>
    <w:rsid w:val="00841A4C"/>
    <w:rsid w:val="00841A53"/>
    <w:rsid w:val="00841AB1"/>
    <w:rsid w:val="00843304"/>
    <w:rsid w:val="00843771"/>
    <w:rsid w:val="00843DCC"/>
    <w:rsid w:val="008452AB"/>
    <w:rsid w:val="00845347"/>
    <w:rsid w:val="00845830"/>
    <w:rsid w:val="008459FF"/>
    <w:rsid w:val="00845E0B"/>
    <w:rsid w:val="00846391"/>
    <w:rsid w:val="00850058"/>
    <w:rsid w:val="00850A51"/>
    <w:rsid w:val="00850ECA"/>
    <w:rsid w:val="00852365"/>
    <w:rsid w:val="00853CB6"/>
    <w:rsid w:val="00853E63"/>
    <w:rsid w:val="00855D9B"/>
    <w:rsid w:val="00856220"/>
    <w:rsid w:val="00856BE6"/>
    <w:rsid w:val="008574FE"/>
    <w:rsid w:val="008577C5"/>
    <w:rsid w:val="00857871"/>
    <w:rsid w:val="00860638"/>
    <w:rsid w:val="00860BB3"/>
    <w:rsid w:val="00861812"/>
    <w:rsid w:val="00861A25"/>
    <w:rsid w:val="00862054"/>
    <w:rsid w:val="00862062"/>
    <w:rsid w:val="00862EBE"/>
    <w:rsid w:val="0086383B"/>
    <w:rsid w:val="00863C50"/>
    <w:rsid w:val="00864172"/>
    <w:rsid w:val="00864660"/>
    <w:rsid w:val="00864A51"/>
    <w:rsid w:val="00865424"/>
    <w:rsid w:val="0086600C"/>
    <w:rsid w:val="00866086"/>
    <w:rsid w:val="00866587"/>
    <w:rsid w:val="008667CF"/>
    <w:rsid w:val="0086776C"/>
    <w:rsid w:val="008723FA"/>
    <w:rsid w:val="0087249E"/>
    <w:rsid w:val="0087258F"/>
    <w:rsid w:val="00872992"/>
    <w:rsid w:val="008762D4"/>
    <w:rsid w:val="00880DCB"/>
    <w:rsid w:val="008815A1"/>
    <w:rsid w:val="00884C1C"/>
    <w:rsid w:val="00884D4C"/>
    <w:rsid w:val="008850CD"/>
    <w:rsid w:val="0088533E"/>
    <w:rsid w:val="0088644C"/>
    <w:rsid w:val="00886DA2"/>
    <w:rsid w:val="00887107"/>
    <w:rsid w:val="00887B80"/>
    <w:rsid w:val="00887F48"/>
    <w:rsid w:val="0089114E"/>
    <w:rsid w:val="00891F58"/>
    <w:rsid w:val="00892A6E"/>
    <w:rsid w:val="00892B8A"/>
    <w:rsid w:val="00892F8A"/>
    <w:rsid w:val="00893267"/>
    <w:rsid w:val="00893393"/>
    <w:rsid w:val="008935F8"/>
    <w:rsid w:val="00893BBA"/>
    <w:rsid w:val="00895785"/>
    <w:rsid w:val="00895DA6"/>
    <w:rsid w:val="00895E9B"/>
    <w:rsid w:val="008969BD"/>
    <w:rsid w:val="00896B3B"/>
    <w:rsid w:val="008A0DF2"/>
    <w:rsid w:val="008A3C76"/>
    <w:rsid w:val="008A42F8"/>
    <w:rsid w:val="008A43A5"/>
    <w:rsid w:val="008A43B7"/>
    <w:rsid w:val="008A500B"/>
    <w:rsid w:val="008A5D3F"/>
    <w:rsid w:val="008A5DDB"/>
    <w:rsid w:val="008A75CC"/>
    <w:rsid w:val="008A791A"/>
    <w:rsid w:val="008A7DE0"/>
    <w:rsid w:val="008B184E"/>
    <w:rsid w:val="008B1A4D"/>
    <w:rsid w:val="008B1F4D"/>
    <w:rsid w:val="008B23A1"/>
    <w:rsid w:val="008B2682"/>
    <w:rsid w:val="008B2813"/>
    <w:rsid w:val="008B2A49"/>
    <w:rsid w:val="008B40D6"/>
    <w:rsid w:val="008B42AF"/>
    <w:rsid w:val="008B5D3F"/>
    <w:rsid w:val="008B5E9D"/>
    <w:rsid w:val="008B7554"/>
    <w:rsid w:val="008B7E31"/>
    <w:rsid w:val="008C0625"/>
    <w:rsid w:val="008C0AA6"/>
    <w:rsid w:val="008C0C77"/>
    <w:rsid w:val="008C0E84"/>
    <w:rsid w:val="008C14EF"/>
    <w:rsid w:val="008C1E23"/>
    <w:rsid w:val="008C31EB"/>
    <w:rsid w:val="008C3965"/>
    <w:rsid w:val="008C429C"/>
    <w:rsid w:val="008C4DED"/>
    <w:rsid w:val="008C6500"/>
    <w:rsid w:val="008C68CE"/>
    <w:rsid w:val="008C68F1"/>
    <w:rsid w:val="008C77D5"/>
    <w:rsid w:val="008D0497"/>
    <w:rsid w:val="008D0613"/>
    <w:rsid w:val="008D1186"/>
    <w:rsid w:val="008D15D2"/>
    <w:rsid w:val="008D185D"/>
    <w:rsid w:val="008D2954"/>
    <w:rsid w:val="008D4043"/>
    <w:rsid w:val="008D5F5A"/>
    <w:rsid w:val="008D6086"/>
    <w:rsid w:val="008D6165"/>
    <w:rsid w:val="008D6426"/>
    <w:rsid w:val="008E1131"/>
    <w:rsid w:val="008E2C73"/>
    <w:rsid w:val="008E4217"/>
    <w:rsid w:val="008E54C0"/>
    <w:rsid w:val="008E6888"/>
    <w:rsid w:val="008E6EE2"/>
    <w:rsid w:val="008F022F"/>
    <w:rsid w:val="008F04AF"/>
    <w:rsid w:val="008F0D1A"/>
    <w:rsid w:val="008F1134"/>
    <w:rsid w:val="008F1C3E"/>
    <w:rsid w:val="008F1DE5"/>
    <w:rsid w:val="008F2885"/>
    <w:rsid w:val="008F2E8F"/>
    <w:rsid w:val="008F35CB"/>
    <w:rsid w:val="008F38E1"/>
    <w:rsid w:val="008F41D7"/>
    <w:rsid w:val="008F4C30"/>
    <w:rsid w:val="008F5636"/>
    <w:rsid w:val="008F5B45"/>
    <w:rsid w:val="008F5B61"/>
    <w:rsid w:val="008F7533"/>
    <w:rsid w:val="008F7ADA"/>
    <w:rsid w:val="00900222"/>
    <w:rsid w:val="0090049F"/>
    <w:rsid w:val="00900A17"/>
    <w:rsid w:val="00901FEE"/>
    <w:rsid w:val="00903556"/>
    <w:rsid w:val="009039C4"/>
    <w:rsid w:val="00903E75"/>
    <w:rsid w:val="00905300"/>
    <w:rsid w:val="00905488"/>
    <w:rsid w:val="00906C7E"/>
    <w:rsid w:val="00907C1C"/>
    <w:rsid w:val="00907F3E"/>
    <w:rsid w:val="00907FDB"/>
    <w:rsid w:val="009115D6"/>
    <w:rsid w:val="00912A38"/>
    <w:rsid w:val="00913633"/>
    <w:rsid w:val="009143CA"/>
    <w:rsid w:val="00914A11"/>
    <w:rsid w:val="009161BA"/>
    <w:rsid w:val="00916DDE"/>
    <w:rsid w:val="00916EC4"/>
    <w:rsid w:val="009170DF"/>
    <w:rsid w:val="00917CE3"/>
    <w:rsid w:val="00917E09"/>
    <w:rsid w:val="009207CC"/>
    <w:rsid w:val="00920DD3"/>
    <w:rsid w:val="0092104D"/>
    <w:rsid w:val="00921803"/>
    <w:rsid w:val="00921F4D"/>
    <w:rsid w:val="00922624"/>
    <w:rsid w:val="0092267E"/>
    <w:rsid w:val="00923E44"/>
    <w:rsid w:val="00924314"/>
    <w:rsid w:val="009255DC"/>
    <w:rsid w:val="00925720"/>
    <w:rsid w:val="00926503"/>
    <w:rsid w:val="009272C3"/>
    <w:rsid w:val="00927983"/>
    <w:rsid w:val="00927BFB"/>
    <w:rsid w:val="00927C48"/>
    <w:rsid w:val="00930179"/>
    <w:rsid w:val="00930C05"/>
    <w:rsid w:val="00932439"/>
    <w:rsid w:val="009329F3"/>
    <w:rsid w:val="00932B32"/>
    <w:rsid w:val="00933F02"/>
    <w:rsid w:val="00934FEB"/>
    <w:rsid w:val="0093534B"/>
    <w:rsid w:val="00935A94"/>
    <w:rsid w:val="00936E54"/>
    <w:rsid w:val="00937587"/>
    <w:rsid w:val="0093779A"/>
    <w:rsid w:val="00937DF2"/>
    <w:rsid w:val="00937E02"/>
    <w:rsid w:val="009405E4"/>
    <w:rsid w:val="00940AE3"/>
    <w:rsid w:val="00940FCA"/>
    <w:rsid w:val="00940FEC"/>
    <w:rsid w:val="00940FF5"/>
    <w:rsid w:val="009421F4"/>
    <w:rsid w:val="00942362"/>
    <w:rsid w:val="00942630"/>
    <w:rsid w:val="00943A48"/>
    <w:rsid w:val="00943A80"/>
    <w:rsid w:val="00943B07"/>
    <w:rsid w:val="0094414E"/>
    <w:rsid w:val="009441F9"/>
    <w:rsid w:val="0094438D"/>
    <w:rsid w:val="0094576C"/>
    <w:rsid w:val="00945957"/>
    <w:rsid w:val="00945EEA"/>
    <w:rsid w:val="00946010"/>
    <w:rsid w:val="0094659A"/>
    <w:rsid w:val="00947DD1"/>
    <w:rsid w:val="009511E9"/>
    <w:rsid w:val="00951484"/>
    <w:rsid w:val="009514D0"/>
    <w:rsid w:val="009516CD"/>
    <w:rsid w:val="009525D3"/>
    <w:rsid w:val="0095272C"/>
    <w:rsid w:val="00952820"/>
    <w:rsid w:val="00952DC8"/>
    <w:rsid w:val="00952EE2"/>
    <w:rsid w:val="0095349E"/>
    <w:rsid w:val="00953A09"/>
    <w:rsid w:val="00953E30"/>
    <w:rsid w:val="00954DE5"/>
    <w:rsid w:val="0095510C"/>
    <w:rsid w:val="0095579B"/>
    <w:rsid w:val="009558DA"/>
    <w:rsid w:val="009558FB"/>
    <w:rsid w:val="0095673D"/>
    <w:rsid w:val="00956CEC"/>
    <w:rsid w:val="00956CFA"/>
    <w:rsid w:val="00956EDD"/>
    <w:rsid w:val="009579A3"/>
    <w:rsid w:val="00961BF0"/>
    <w:rsid w:val="00961F4A"/>
    <w:rsid w:val="009623E6"/>
    <w:rsid w:val="009629C4"/>
    <w:rsid w:val="00962B8E"/>
    <w:rsid w:val="00964B59"/>
    <w:rsid w:val="009651B5"/>
    <w:rsid w:val="0096626D"/>
    <w:rsid w:val="00967530"/>
    <w:rsid w:val="00970554"/>
    <w:rsid w:val="00971DC6"/>
    <w:rsid w:val="009726D8"/>
    <w:rsid w:val="00972837"/>
    <w:rsid w:val="00972A72"/>
    <w:rsid w:val="00972F18"/>
    <w:rsid w:val="009733B9"/>
    <w:rsid w:val="00973A8D"/>
    <w:rsid w:val="00973C6C"/>
    <w:rsid w:val="0097409A"/>
    <w:rsid w:val="0097437B"/>
    <w:rsid w:val="009747E6"/>
    <w:rsid w:val="009747ED"/>
    <w:rsid w:val="00975066"/>
    <w:rsid w:val="00975323"/>
    <w:rsid w:val="00975D68"/>
    <w:rsid w:val="009763C5"/>
    <w:rsid w:val="009764EF"/>
    <w:rsid w:val="00976C7C"/>
    <w:rsid w:val="00976CC5"/>
    <w:rsid w:val="00977488"/>
    <w:rsid w:val="0097789D"/>
    <w:rsid w:val="00977A85"/>
    <w:rsid w:val="00977BC9"/>
    <w:rsid w:val="00977C21"/>
    <w:rsid w:val="00980061"/>
    <w:rsid w:val="00981692"/>
    <w:rsid w:val="00981CCD"/>
    <w:rsid w:val="00983744"/>
    <w:rsid w:val="00983A6E"/>
    <w:rsid w:val="00983B02"/>
    <w:rsid w:val="00985356"/>
    <w:rsid w:val="0098545D"/>
    <w:rsid w:val="00985893"/>
    <w:rsid w:val="009865AF"/>
    <w:rsid w:val="00987523"/>
    <w:rsid w:val="00990E5A"/>
    <w:rsid w:val="0099160C"/>
    <w:rsid w:val="00991BBF"/>
    <w:rsid w:val="009929B2"/>
    <w:rsid w:val="00993290"/>
    <w:rsid w:val="00993717"/>
    <w:rsid w:val="00994028"/>
    <w:rsid w:val="009963D0"/>
    <w:rsid w:val="00997C56"/>
    <w:rsid w:val="009A077F"/>
    <w:rsid w:val="009A0DD6"/>
    <w:rsid w:val="009A1129"/>
    <w:rsid w:val="009A1224"/>
    <w:rsid w:val="009A1254"/>
    <w:rsid w:val="009A1257"/>
    <w:rsid w:val="009A16AC"/>
    <w:rsid w:val="009A30EA"/>
    <w:rsid w:val="009A3271"/>
    <w:rsid w:val="009A3E2F"/>
    <w:rsid w:val="009A4376"/>
    <w:rsid w:val="009A444A"/>
    <w:rsid w:val="009A5895"/>
    <w:rsid w:val="009A6185"/>
    <w:rsid w:val="009A69CA"/>
    <w:rsid w:val="009A6AD9"/>
    <w:rsid w:val="009A74EA"/>
    <w:rsid w:val="009B0005"/>
    <w:rsid w:val="009B0263"/>
    <w:rsid w:val="009B306A"/>
    <w:rsid w:val="009B3165"/>
    <w:rsid w:val="009B371B"/>
    <w:rsid w:val="009B3D23"/>
    <w:rsid w:val="009B4107"/>
    <w:rsid w:val="009B4ACB"/>
    <w:rsid w:val="009B53DC"/>
    <w:rsid w:val="009B57D0"/>
    <w:rsid w:val="009B5D20"/>
    <w:rsid w:val="009B6A97"/>
    <w:rsid w:val="009B709A"/>
    <w:rsid w:val="009B7A01"/>
    <w:rsid w:val="009C1B78"/>
    <w:rsid w:val="009C1EBD"/>
    <w:rsid w:val="009C2760"/>
    <w:rsid w:val="009C2CD9"/>
    <w:rsid w:val="009C4975"/>
    <w:rsid w:val="009C5DE0"/>
    <w:rsid w:val="009C662C"/>
    <w:rsid w:val="009C6796"/>
    <w:rsid w:val="009C6C7E"/>
    <w:rsid w:val="009C7008"/>
    <w:rsid w:val="009C704C"/>
    <w:rsid w:val="009C766D"/>
    <w:rsid w:val="009D06F4"/>
    <w:rsid w:val="009D1354"/>
    <w:rsid w:val="009D1579"/>
    <w:rsid w:val="009D20B0"/>
    <w:rsid w:val="009D26DC"/>
    <w:rsid w:val="009D28D0"/>
    <w:rsid w:val="009D3736"/>
    <w:rsid w:val="009D37E1"/>
    <w:rsid w:val="009D3BA0"/>
    <w:rsid w:val="009D3DD5"/>
    <w:rsid w:val="009D448A"/>
    <w:rsid w:val="009D5159"/>
    <w:rsid w:val="009D6425"/>
    <w:rsid w:val="009D66DF"/>
    <w:rsid w:val="009D6E51"/>
    <w:rsid w:val="009D744E"/>
    <w:rsid w:val="009D7958"/>
    <w:rsid w:val="009E049B"/>
    <w:rsid w:val="009E0C3B"/>
    <w:rsid w:val="009E0CDE"/>
    <w:rsid w:val="009E25C8"/>
    <w:rsid w:val="009E29C5"/>
    <w:rsid w:val="009E388A"/>
    <w:rsid w:val="009E4EE4"/>
    <w:rsid w:val="009E5CF8"/>
    <w:rsid w:val="009E6722"/>
    <w:rsid w:val="009E6943"/>
    <w:rsid w:val="009E782E"/>
    <w:rsid w:val="009F3A9C"/>
    <w:rsid w:val="009F4223"/>
    <w:rsid w:val="009F5AA5"/>
    <w:rsid w:val="009F6B41"/>
    <w:rsid w:val="009F76DB"/>
    <w:rsid w:val="00A00EFC"/>
    <w:rsid w:val="00A0166C"/>
    <w:rsid w:val="00A0187B"/>
    <w:rsid w:val="00A01954"/>
    <w:rsid w:val="00A0326A"/>
    <w:rsid w:val="00A04A2F"/>
    <w:rsid w:val="00A05ACF"/>
    <w:rsid w:val="00A0675C"/>
    <w:rsid w:val="00A06819"/>
    <w:rsid w:val="00A06E11"/>
    <w:rsid w:val="00A07C36"/>
    <w:rsid w:val="00A1026C"/>
    <w:rsid w:val="00A111C4"/>
    <w:rsid w:val="00A11B14"/>
    <w:rsid w:val="00A11EB7"/>
    <w:rsid w:val="00A11F65"/>
    <w:rsid w:val="00A122ED"/>
    <w:rsid w:val="00A12334"/>
    <w:rsid w:val="00A12BF8"/>
    <w:rsid w:val="00A1735A"/>
    <w:rsid w:val="00A17496"/>
    <w:rsid w:val="00A178EE"/>
    <w:rsid w:val="00A20A78"/>
    <w:rsid w:val="00A21443"/>
    <w:rsid w:val="00A2263E"/>
    <w:rsid w:val="00A23A4D"/>
    <w:rsid w:val="00A245D5"/>
    <w:rsid w:val="00A24B36"/>
    <w:rsid w:val="00A24BD0"/>
    <w:rsid w:val="00A2557C"/>
    <w:rsid w:val="00A259D9"/>
    <w:rsid w:val="00A25B93"/>
    <w:rsid w:val="00A25FAB"/>
    <w:rsid w:val="00A272D8"/>
    <w:rsid w:val="00A27CB0"/>
    <w:rsid w:val="00A27F59"/>
    <w:rsid w:val="00A3075E"/>
    <w:rsid w:val="00A30C8F"/>
    <w:rsid w:val="00A31A8C"/>
    <w:rsid w:val="00A32C3B"/>
    <w:rsid w:val="00A332A3"/>
    <w:rsid w:val="00A3405E"/>
    <w:rsid w:val="00A3481A"/>
    <w:rsid w:val="00A34DE9"/>
    <w:rsid w:val="00A35C65"/>
    <w:rsid w:val="00A37BA2"/>
    <w:rsid w:val="00A40F35"/>
    <w:rsid w:val="00A4190C"/>
    <w:rsid w:val="00A41CC4"/>
    <w:rsid w:val="00A428E2"/>
    <w:rsid w:val="00A42C01"/>
    <w:rsid w:val="00A43F7C"/>
    <w:rsid w:val="00A451A6"/>
    <w:rsid w:val="00A45E1A"/>
    <w:rsid w:val="00A45F4F"/>
    <w:rsid w:val="00A4677B"/>
    <w:rsid w:val="00A50283"/>
    <w:rsid w:val="00A503AB"/>
    <w:rsid w:val="00A509B4"/>
    <w:rsid w:val="00A51ED7"/>
    <w:rsid w:val="00A5284B"/>
    <w:rsid w:val="00A53017"/>
    <w:rsid w:val="00A534D6"/>
    <w:rsid w:val="00A53B79"/>
    <w:rsid w:val="00A54702"/>
    <w:rsid w:val="00A55E7B"/>
    <w:rsid w:val="00A5642B"/>
    <w:rsid w:val="00A600A9"/>
    <w:rsid w:val="00A60531"/>
    <w:rsid w:val="00A60801"/>
    <w:rsid w:val="00A619A1"/>
    <w:rsid w:val="00A62252"/>
    <w:rsid w:val="00A62D74"/>
    <w:rsid w:val="00A644B2"/>
    <w:rsid w:val="00A65B64"/>
    <w:rsid w:val="00A66BA8"/>
    <w:rsid w:val="00A66FCF"/>
    <w:rsid w:val="00A67ADF"/>
    <w:rsid w:val="00A703DD"/>
    <w:rsid w:val="00A70731"/>
    <w:rsid w:val="00A73548"/>
    <w:rsid w:val="00A736FF"/>
    <w:rsid w:val="00A7450B"/>
    <w:rsid w:val="00A75D57"/>
    <w:rsid w:val="00A76171"/>
    <w:rsid w:val="00A76839"/>
    <w:rsid w:val="00A76954"/>
    <w:rsid w:val="00A779BA"/>
    <w:rsid w:val="00A82740"/>
    <w:rsid w:val="00A827E0"/>
    <w:rsid w:val="00A82801"/>
    <w:rsid w:val="00A830D4"/>
    <w:rsid w:val="00A83D34"/>
    <w:rsid w:val="00A84036"/>
    <w:rsid w:val="00A85411"/>
    <w:rsid w:val="00A85913"/>
    <w:rsid w:val="00A85DC4"/>
    <w:rsid w:val="00A8642B"/>
    <w:rsid w:val="00A86A0D"/>
    <w:rsid w:val="00A86C1F"/>
    <w:rsid w:val="00A90034"/>
    <w:rsid w:val="00A91387"/>
    <w:rsid w:val="00A916B9"/>
    <w:rsid w:val="00A91A33"/>
    <w:rsid w:val="00A91BF1"/>
    <w:rsid w:val="00A95BA5"/>
    <w:rsid w:val="00A964C2"/>
    <w:rsid w:val="00A966FB"/>
    <w:rsid w:val="00A96EB1"/>
    <w:rsid w:val="00A96F60"/>
    <w:rsid w:val="00A97FE2"/>
    <w:rsid w:val="00AA037F"/>
    <w:rsid w:val="00AA148F"/>
    <w:rsid w:val="00AA1A01"/>
    <w:rsid w:val="00AA233F"/>
    <w:rsid w:val="00AA2C6C"/>
    <w:rsid w:val="00AA2F01"/>
    <w:rsid w:val="00AA33BE"/>
    <w:rsid w:val="00AA5216"/>
    <w:rsid w:val="00AA5336"/>
    <w:rsid w:val="00AA55B7"/>
    <w:rsid w:val="00AA5771"/>
    <w:rsid w:val="00AA5B9E"/>
    <w:rsid w:val="00AA5C86"/>
    <w:rsid w:val="00AA6670"/>
    <w:rsid w:val="00AA67C9"/>
    <w:rsid w:val="00AA6E82"/>
    <w:rsid w:val="00AA763F"/>
    <w:rsid w:val="00AB062C"/>
    <w:rsid w:val="00AB1077"/>
    <w:rsid w:val="00AB19BC"/>
    <w:rsid w:val="00AB1D1F"/>
    <w:rsid w:val="00AB1F90"/>
    <w:rsid w:val="00AB219C"/>
    <w:rsid w:val="00AB2407"/>
    <w:rsid w:val="00AB28E5"/>
    <w:rsid w:val="00AB35D2"/>
    <w:rsid w:val="00AB3E79"/>
    <w:rsid w:val="00AB4569"/>
    <w:rsid w:val="00AB51D2"/>
    <w:rsid w:val="00AB53DF"/>
    <w:rsid w:val="00AB5565"/>
    <w:rsid w:val="00AB574E"/>
    <w:rsid w:val="00AB58C9"/>
    <w:rsid w:val="00AB593F"/>
    <w:rsid w:val="00AB65C1"/>
    <w:rsid w:val="00AB6FC0"/>
    <w:rsid w:val="00AB73A0"/>
    <w:rsid w:val="00AB7628"/>
    <w:rsid w:val="00AB7852"/>
    <w:rsid w:val="00AB7964"/>
    <w:rsid w:val="00AC0E63"/>
    <w:rsid w:val="00AC1368"/>
    <w:rsid w:val="00AC21A6"/>
    <w:rsid w:val="00AC2A82"/>
    <w:rsid w:val="00AC441B"/>
    <w:rsid w:val="00AC4F1C"/>
    <w:rsid w:val="00AC5B50"/>
    <w:rsid w:val="00AC5F2F"/>
    <w:rsid w:val="00AC609C"/>
    <w:rsid w:val="00AC6705"/>
    <w:rsid w:val="00AC6725"/>
    <w:rsid w:val="00AC6D23"/>
    <w:rsid w:val="00AC761B"/>
    <w:rsid w:val="00AD06CB"/>
    <w:rsid w:val="00AD20A6"/>
    <w:rsid w:val="00AD22C8"/>
    <w:rsid w:val="00AD3573"/>
    <w:rsid w:val="00AD4431"/>
    <w:rsid w:val="00AD4CCA"/>
    <w:rsid w:val="00AD4D9B"/>
    <w:rsid w:val="00AD582F"/>
    <w:rsid w:val="00AD5977"/>
    <w:rsid w:val="00AD61A1"/>
    <w:rsid w:val="00AD707D"/>
    <w:rsid w:val="00AD75C7"/>
    <w:rsid w:val="00AD760F"/>
    <w:rsid w:val="00AD76A4"/>
    <w:rsid w:val="00AD7B1F"/>
    <w:rsid w:val="00AE0AA9"/>
    <w:rsid w:val="00AE2C3A"/>
    <w:rsid w:val="00AE2DE0"/>
    <w:rsid w:val="00AE3A2D"/>
    <w:rsid w:val="00AE49E3"/>
    <w:rsid w:val="00AE6C72"/>
    <w:rsid w:val="00AE7F76"/>
    <w:rsid w:val="00AF0701"/>
    <w:rsid w:val="00AF3222"/>
    <w:rsid w:val="00AF3E3B"/>
    <w:rsid w:val="00AF45A0"/>
    <w:rsid w:val="00AF5A4F"/>
    <w:rsid w:val="00AF6167"/>
    <w:rsid w:val="00AF65D5"/>
    <w:rsid w:val="00B00BC7"/>
    <w:rsid w:val="00B013B3"/>
    <w:rsid w:val="00B018B3"/>
    <w:rsid w:val="00B01B39"/>
    <w:rsid w:val="00B023B5"/>
    <w:rsid w:val="00B0270A"/>
    <w:rsid w:val="00B0315B"/>
    <w:rsid w:val="00B04047"/>
    <w:rsid w:val="00B04D06"/>
    <w:rsid w:val="00B0563F"/>
    <w:rsid w:val="00B05E62"/>
    <w:rsid w:val="00B07687"/>
    <w:rsid w:val="00B07E5C"/>
    <w:rsid w:val="00B10CBE"/>
    <w:rsid w:val="00B11114"/>
    <w:rsid w:val="00B116ED"/>
    <w:rsid w:val="00B11DC9"/>
    <w:rsid w:val="00B14948"/>
    <w:rsid w:val="00B15571"/>
    <w:rsid w:val="00B15E6D"/>
    <w:rsid w:val="00B16395"/>
    <w:rsid w:val="00B16852"/>
    <w:rsid w:val="00B16A1D"/>
    <w:rsid w:val="00B20199"/>
    <w:rsid w:val="00B20362"/>
    <w:rsid w:val="00B20B6E"/>
    <w:rsid w:val="00B21763"/>
    <w:rsid w:val="00B224A2"/>
    <w:rsid w:val="00B2286A"/>
    <w:rsid w:val="00B22933"/>
    <w:rsid w:val="00B2303C"/>
    <w:rsid w:val="00B23BAB"/>
    <w:rsid w:val="00B23EF5"/>
    <w:rsid w:val="00B2497C"/>
    <w:rsid w:val="00B24A43"/>
    <w:rsid w:val="00B26281"/>
    <w:rsid w:val="00B272C6"/>
    <w:rsid w:val="00B275C2"/>
    <w:rsid w:val="00B312CB"/>
    <w:rsid w:val="00B31717"/>
    <w:rsid w:val="00B352AE"/>
    <w:rsid w:val="00B35BD2"/>
    <w:rsid w:val="00B36F97"/>
    <w:rsid w:val="00B37CA2"/>
    <w:rsid w:val="00B37E92"/>
    <w:rsid w:val="00B40AD8"/>
    <w:rsid w:val="00B40CFA"/>
    <w:rsid w:val="00B40E5F"/>
    <w:rsid w:val="00B4109C"/>
    <w:rsid w:val="00B42451"/>
    <w:rsid w:val="00B428F4"/>
    <w:rsid w:val="00B435A6"/>
    <w:rsid w:val="00B43933"/>
    <w:rsid w:val="00B442EF"/>
    <w:rsid w:val="00B44A55"/>
    <w:rsid w:val="00B44F24"/>
    <w:rsid w:val="00B45239"/>
    <w:rsid w:val="00B45543"/>
    <w:rsid w:val="00B46878"/>
    <w:rsid w:val="00B5031D"/>
    <w:rsid w:val="00B50D90"/>
    <w:rsid w:val="00B513B7"/>
    <w:rsid w:val="00B51F7F"/>
    <w:rsid w:val="00B53C5F"/>
    <w:rsid w:val="00B541B3"/>
    <w:rsid w:val="00B54C3C"/>
    <w:rsid w:val="00B552B4"/>
    <w:rsid w:val="00B558B9"/>
    <w:rsid w:val="00B56845"/>
    <w:rsid w:val="00B57B98"/>
    <w:rsid w:val="00B6022E"/>
    <w:rsid w:val="00B6063B"/>
    <w:rsid w:val="00B628C4"/>
    <w:rsid w:val="00B62B1C"/>
    <w:rsid w:val="00B641EF"/>
    <w:rsid w:val="00B64AA3"/>
    <w:rsid w:val="00B64F02"/>
    <w:rsid w:val="00B65033"/>
    <w:rsid w:val="00B65404"/>
    <w:rsid w:val="00B66D60"/>
    <w:rsid w:val="00B70083"/>
    <w:rsid w:val="00B70C4C"/>
    <w:rsid w:val="00B718B8"/>
    <w:rsid w:val="00B72568"/>
    <w:rsid w:val="00B73177"/>
    <w:rsid w:val="00B776C5"/>
    <w:rsid w:val="00B80B29"/>
    <w:rsid w:val="00B80B66"/>
    <w:rsid w:val="00B811F7"/>
    <w:rsid w:val="00B81C5F"/>
    <w:rsid w:val="00B81D97"/>
    <w:rsid w:val="00B835E0"/>
    <w:rsid w:val="00B83D0D"/>
    <w:rsid w:val="00B8495A"/>
    <w:rsid w:val="00B8497F"/>
    <w:rsid w:val="00B8498E"/>
    <w:rsid w:val="00B84E4A"/>
    <w:rsid w:val="00B86CC0"/>
    <w:rsid w:val="00B872BD"/>
    <w:rsid w:val="00B87A94"/>
    <w:rsid w:val="00B87BAE"/>
    <w:rsid w:val="00B90B61"/>
    <w:rsid w:val="00B913E2"/>
    <w:rsid w:val="00B9154B"/>
    <w:rsid w:val="00B91806"/>
    <w:rsid w:val="00B92283"/>
    <w:rsid w:val="00B936A7"/>
    <w:rsid w:val="00B952B0"/>
    <w:rsid w:val="00B95A87"/>
    <w:rsid w:val="00B96BE7"/>
    <w:rsid w:val="00B9708D"/>
    <w:rsid w:val="00B97D3F"/>
    <w:rsid w:val="00BA029B"/>
    <w:rsid w:val="00BA0A7E"/>
    <w:rsid w:val="00BA1570"/>
    <w:rsid w:val="00BA1D10"/>
    <w:rsid w:val="00BA1E90"/>
    <w:rsid w:val="00BA3002"/>
    <w:rsid w:val="00BA345E"/>
    <w:rsid w:val="00BA36C3"/>
    <w:rsid w:val="00BA3927"/>
    <w:rsid w:val="00BA3D5C"/>
    <w:rsid w:val="00BA3F60"/>
    <w:rsid w:val="00BA4FE9"/>
    <w:rsid w:val="00BA50D6"/>
    <w:rsid w:val="00BA5DC6"/>
    <w:rsid w:val="00BA6196"/>
    <w:rsid w:val="00BA66D9"/>
    <w:rsid w:val="00BA72A3"/>
    <w:rsid w:val="00BA73CB"/>
    <w:rsid w:val="00BB00CF"/>
    <w:rsid w:val="00BB0305"/>
    <w:rsid w:val="00BB06BB"/>
    <w:rsid w:val="00BB0F36"/>
    <w:rsid w:val="00BB0FBF"/>
    <w:rsid w:val="00BB1167"/>
    <w:rsid w:val="00BB1337"/>
    <w:rsid w:val="00BB1730"/>
    <w:rsid w:val="00BB1B91"/>
    <w:rsid w:val="00BB36A5"/>
    <w:rsid w:val="00BB3731"/>
    <w:rsid w:val="00BB3B47"/>
    <w:rsid w:val="00BB3D59"/>
    <w:rsid w:val="00BB3ED8"/>
    <w:rsid w:val="00BB3FDC"/>
    <w:rsid w:val="00BB5A45"/>
    <w:rsid w:val="00BB671F"/>
    <w:rsid w:val="00BB6E86"/>
    <w:rsid w:val="00BB7B8C"/>
    <w:rsid w:val="00BC019E"/>
    <w:rsid w:val="00BC2239"/>
    <w:rsid w:val="00BC3216"/>
    <w:rsid w:val="00BC3DBD"/>
    <w:rsid w:val="00BC437E"/>
    <w:rsid w:val="00BC483A"/>
    <w:rsid w:val="00BC4B47"/>
    <w:rsid w:val="00BC604A"/>
    <w:rsid w:val="00BC6D8C"/>
    <w:rsid w:val="00BC6E57"/>
    <w:rsid w:val="00BC6F69"/>
    <w:rsid w:val="00BC78D1"/>
    <w:rsid w:val="00BD06AA"/>
    <w:rsid w:val="00BD16E2"/>
    <w:rsid w:val="00BD2823"/>
    <w:rsid w:val="00BD3280"/>
    <w:rsid w:val="00BD39DD"/>
    <w:rsid w:val="00BD3B13"/>
    <w:rsid w:val="00BD4920"/>
    <w:rsid w:val="00BD57B5"/>
    <w:rsid w:val="00BD5A31"/>
    <w:rsid w:val="00BD5B73"/>
    <w:rsid w:val="00BD704E"/>
    <w:rsid w:val="00BD7F31"/>
    <w:rsid w:val="00BE0B3D"/>
    <w:rsid w:val="00BE240B"/>
    <w:rsid w:val="00BE25EA"/>
    <w:rsid w:val="00BE2CE1"/>
    <w:rsid w:val="00BE46BF"/>
    <w:rsid w:val="00BE50EA"/>
    <w:rsid w:val="00BE5D55"/>
    <w:rsid w:val="00BE6244"/>
    <w:rsid w:val="00BE6957"/>
    <w:rsid w:val="00BE6CCD"/>
    <w:rsid w:val="00BE6DF6"/>
    <w:rsid w:val="00BF05EF"/>
    <w:rsid w:val="00BF0659"/>
    <w:rsid w:val="00BF0960"/>
    <w:rsid w:val="00BF0D72"/>
    <w:rsid w:val="00BF1048"/>
    <w:rsid w:val="00BF1584"/>
    <w:rsid w:val="00BF1A89"/>
    <w:rsid w:val="00BF2A0D"/>
    <w:rsid w:val="00BF315D"/>
    <w:rsid w:val="00BF4041"/>
    <w:rsid w:val="00BF46DC"/>
    <w:rsid w:val="00BF4704"/>
    <w:rsid w:val="00BF4D9A"/>
    <w:rsid w:val="00BF5A27"/>
    <w:rsid w:val="00BF5CBB"/>
    <w:rsid w:val="00BF63E8"/>
    <w:rsid w:val="00BF69BD"/>
    <w:rsid w:val="00BF719E"/>
    <w:rsid w:val="00BF7756"/>
    <w:rsid w:val="00C00613"/>
    <w:rsid w:val="00C00EA8"/>
    <w:rsid w:val="00C02868"/>
    <w:rsid w:val="00C02B86"/>
    <w:rsid w:val="00C032DF"/>
    <w:rsid w:val="00C03C37"/>
    <w:rsid w:val="00C043B0"/>
    <w:rsid w:val="00C0469C"/>
    <w:rsid w:val="00C0620A"/>
    <w:rsid w:val="00C10246"/>
    <w:rsid w:val="00C107BA"/>
    <w:rsid w:val="00C1160B"/>
    <w:rsid w:val="00C11DFD"/>
    <w:rsid w:val="00C12534"/>
    <w:rsid w:val="00C14435"/>
    <w:rsid w:val="00C14987"/>
    <w:rsid w:val="00C15444"/>
    <w:rsid w:val="00C156E6"/>
    <w:rsid w:val="00C16B63"/>
    <w:rsid w:val="00C17193"/>
    <w:rsid w:val="00C17509"/>
    <w:rsid w:val="00C178AC"/>
    <w:rsid w:val="00C17F41"/>
    <w:rsid w:val="00C17F8D"/>
    <w:rsid w:val="00C21A09"/>
    <w:rsid w:val="00C22668"/>
    <w:rsid w:val="00C23123"/>
    <w:rsid w:val="00C231CB"/>
    <w:rsid w:val="00C23E3F"/>
    <w:rsid w:val="00C25052"/>
    <w:rsid w:val="00C2530A"/>
    <w:rsid w:val="00C258D4"/>
    <w:rsid w:val="00C25DD9"/>
    <w:rsid w:val="00C27B6E"/>
    <w:rsid w:val="00C27FE1"/>
    <w:rsid w:val="00C30D8E"/>
    <w:rsid w:val="00C31017"/>
    <w:rsid w:val="00C311BE"/>
    <w:rsid w:val="00C31BBD"/>
    <w:rsid w:val="00C32164"/>
    <w:rsid w:val="00C326E0"/>
    <w:rsid w:val="00C32DC4"/>
    <w:rsid w:val="00C3323F"/>
    <w:rsid w:val="00C34006"/>
    <w:rsid w:val="00C36047"/>
    <w:rsid w:val="00C367E4"/>
    <w:rsid w:val="00C36849"/>
    <w:rsid w:val="00C36A1F"/>
    <w:rsid w:val="00C37496"/>
    <w:rsid w:val="00C400C8"/>
    <w:rsid w:val="00C40D2A"/>
    <w:rsid w:val="00C414D4"/>
    <w:rsid w:val="00C41C1F"/>
    <w:rsid w:val="00C42505"/>
    <w:rsid w:val="00C426B1"/>
    <w:rsid w:val="00C43BB8"/>
    <w:rsid w:val="00C43E9C"/>
    <w:rsid w:val="00C4423E"/>
    <w:rsid w:val="00C447C4"/>
    <w:rsid w:val="00C44C78"/>
    <w:rsid w:val="00C4538E"/>
    <w:rsid w:val="00C4629B"/>
    <w:rsid w:val="00C47814"/>
    <w:rsid w:val="00C47C42"/>
    <w:rsid w:val="00C50562"/>
    <w:rsid w:val="00C514C4"/>
    <w:rsid w:val="00C51B4B"/>
    <w:rsid w:val="00C524B1"/>
    <w:rsid w:val="00C531DC"/>
    <w:rsid w:val="00C53971"/>
    <w:rsid w:val="00C53A29"/>
    <w:rsid w:val="00C53AA7"/>
    <w:rsid w:val="00C5433A"/>
    <w:rsid w:val="00C54A09"/>
    <w:rsid w:val="00C54C13"/>
    <w:rsid w:val="00C54FF4"/>
    <w:rsid w:val="00C55047"/>
    <w:rsid w:val="00C55B5E"/>
    <w:rsid w:val="00C56356"/>
    <w:rsid w:val="00C564FF"/>
    <w:rsid w:val="00C604A4"/>
    <w:rsid w:val="00C6109D"/>
    <w:rsid w:val="00C61390"/>
    <w:rsid w:val="00C61B9B"/>
    <w:rsid w:val="00C61EE8"/>
    <w:rsid w:val="00C61F22"/>
    <w:rsid w:val="00C622BC"/>
    <w:rsid w:val="00C63D47"/>
    <w:rsid w:val="00C65353"/>
    <w:rsid w:val="00C65ABC"/>
    <w:rsid w:val="00C66160"/>
    <w:rsid w:val="00C66A72"/>
    <w:rsid w:val="00C67A19"/>
    <w:rsid w:val="00C70310"/>
    <w:rsid w:val="00C708C1"/>
    <w:rsid w:val="00C70D47"/>
    <w:rsid w:val="00C7131E"/>
    <w:rsid w:val="00C71A98"/>
    <w:rsid w:val="00C71FDD"/>
    <w:rsid w:val="00C721AC"/>
    <w:rsid w:val="00C72250"/>
    <w:rsid w:val="00C7495B"/>
    <w:rsid w:val="00C75D0A"/>
    <w:rsid w:val="00C764AA"/>
    <w:rsid w:val="00C7653D"/>
    <w:rsid w:val="00C77BF2"/>
    <w:rsid w:val="00C806EE"/>
    <w:rsid w:val="00C81383"/>
    <w:rsid w:val="00C81BEC"/>
    <w:rsid w:val="00C81E80"/>
    <w:rsid w:val="00C81ED7"/>
    <w:rsid w:val="00C837A0"/>
    <w:rsid w:val="00C83B49"/>
    <w:rsid w:val="00C84481"/>
    <w:rsid w:val="00C855F3"/>
    <w:rsid w:val="00C85997"/>
    <w:rsid w:val="00C86728"/>
    <w:rsid w:val="00C8776B"/>
    <w:rsid w:val="00C90D6A"/>
    <w:rsid w:val="00C91867"/>
    <w:rsid w:val="00C91D45"/>
    <w:rsid w:val="00C91FB6"/>
    <w:rsid w:val="00C9304E"/>
    <w:rsid w:val="00C936C2"/>
    <w:rsid w:val="00C936FE"/>
    <w:rsid w:val="00C93FB2"/>
    <w:rsid w:val="00C94212"/>
    <w:rsid w:val="00C94BE7"/>
    <w:rsid w:val="00C95110"/>
    <w:rsid w:val="00C95173"/>
    <w:rsid w:val="00C95888"/>
    <w:rsid w:val="00C963FB"/>
    <w:rsid w:val="00C96A6A"/>
    <w:rsid w:val="00C96D22"/>
    <w:rsid w:val="00C96DFE"/>
    <w:rsid w:val="00CA04CA"/>
    <w:rsid w:val="00CA1F03"/>
    <w:rsid w:val="00CA2444"/>
    <w:rsid w:val="00CA247E"/>
    <w:rsid w:val="00CA2BA5"/>
    <w:rsid w:val="00CA504C"/>
    <w:rsid w:val="00CA52B5"/>
    <w:rsid w:val="00CA5B3D"/>
    <w:rsid w:val="00CA5CBC"/>
    <w:rsid w:val="00CA70BB"/>
    <w:rsid w:val="00CA74C9"/>
    <w:rsid w:val="00CB0B5D"/>
    <w:rsid w:val="00CB1C62"/>
    <w:rsid w:val="00CB1DFE"/>
    <w:rsid w:val="00CB35C5"/>
    <w:rsid w:val="00CB3620"/>
    <w:rsid w:val="00CB3893"/>
    <w:rsid w:val="00CB474D"/>
    <w:rsid w:val="00CB481C"/>
    <w:rsid w:val="00CB6740"/>
    <w:rsid w:val="00CB6D85"/>
    <w:rsid w:val="00CB76A9"/>
    <w:rsid w:val="00CB7BBB"/>
    <w:rsid w:val="00CC0F0D"/>
    <w:rsid w:val="00CC1BF5"/>
    <w:rsid w:val="00CC3131"/>
    <w:rsid w:val="00CC3A7D"/>
    <w:rsid w:val="00CC3ECA"/>
    <w:rsid w:val="00CC4B97"/>
    <w:rsid w:val="00CC50D3"/>
    <w:rsid w:val="00CC599F"/>
    <w:rsid w:val="00CC5F13"/>
    <w:rsid w:val="00CC5FCB"/>
    <w:rsid w:val="00CC6121"/>
    <w:rsid w:val="00CC640D"/>
    <w:rsid w:val="00CC6625"/>
    <w:rsid w:val="00CC70D9"/>
    <w:rsid w:val="00CC72B6"/>
    <w:rsid w:val="00CC7911"/>
    <w:rsid w:val="00CD08F6"/>
    <w:rsid w:val="00CD1566"/>
    <w:rsid w:val="00CD3B53"/>
    <w:rsid w:val="00CD3C16"/>
    <w:rsid w:val="00CD559E"/>
    <w:rsid w:val="00CD593F"/>
    <w:rsid w:val="00CD6103"/>
    <w:rsid w:val="00CD6471"/>
    <w:rsid w:val="00CD7CA6"/>
    <w:rsid w:val="00CD7EE3"/>
    <w:rsid w:val="00CE112F"/>
    <w:rsid w:val="00CE1888"/>
    <w:rsid w:val="00CE1B28"/>
    <w:rsid w:val="00CE203A"/>
    <w:rsid w:val="00CE2E6B"/>
    <w:rsid w:val="00CE32D7"/>
    <w:rsid w:val="00CE32E1"/>
    <w:rsid w:val="00CE3C4D"/>
    <w:rsid w:val="00CE3E0A"/>
    <w:rsid w:val="00CE3FEA"/>
    <w:rsid w:val="00CE41DB"/>
    <w:rsid w:val="00CE432C"/>
    <w:rsid w:val="00CE61F8"/>
    <w:rsid w:val="00CE69C1"/>
    <w:rsid w:val="00CE73AF"/>
    <w:rsid w:val="00CF0260"/>
    <w:rsid w:val="00CF0B17"/>
    <w:rsid w:val="00CF4668"/>
    <w:rsid w:val="00CF4C15"/>
    <w:rsid w:val="00CF53CF"/>
    <w:rsid w:val="00CF56BD"/>
    <w:rsid w:val="00CF622C"/>
    <w:rsid w:val="00CF63EF"/>
    <w:rsid w:val="00CF7F47"/>
    <w:rsid w:val="00D00338"/>
    <w:rsid w:val="00D00CF7"/>
    <w:rsid w:val="00D00DBE"/>
    <w:rsid w:val="00D0138F"/>
    <w:rsid w:val="00D0156C"/>
    <w:rsid w:val="00D0193B"/>
    <w:rsid w:val="00D02184"/>
    <w:rsid w:val="00D0218D"/>
    <w:rsid w:val="00D02773"/>
    <w:rsid w:val="00D02BCE"/>
    <w:rsid w:val="00D02E14"/>
    <w:rsid w:val="00D03C93"/>
    <w:rsid w:val="00D04369"/>
    <w:rsid w:val="00D04939"/>
    <w:rsid w:val="00D04C0E"/>
    <w:rsid w:val="00D07B5E"/>
    <w:rsid w:val="00D10444"/>
    <w:rsid w:val="00D1167A"/>
    <w:rsid w:val="00D11DE5"/>
    <w:rsid w:val="00D127A8"/>
    <w:rsid w:val="00D13721"/>
    <w:rsid w:val="00D14D17"/>
    <w:rsid w:val="00D155EA"/>
    <w:rsid w:val="00D164B9"/>
    <w:rsid w:val="00D21AC5"/>
    <w:rsid w:val="00D21D0E"/>
    <w:rsid w:val="00D2480C"/>
    <w:rsid w:val="00D253A4"/>
    <w:rsid w:val="00D25FA8"/>
    <w:rsid w:val="00D25FB5"/>
    <w:rsid w:val="00D30398"/>
    <w:rsid w:val="00D3054D"/>
    <w:rsid w:val="00D30CE1"/>
    <w:rsid w:val="00D30F7F"/>
    <w:rsid w:val="00D327E1"/>
    <w:rsid w:val="00D32960"/>
    <w:rsid w:val="00D3496D"/>
    <w:rsid w:val="00D34C5A"/>
    <w:rsid w:val="00D351C4"/>
    <w:rsid w:val="00D351F2"/>
    <w:rsid w:val="00D362E1"/>
    <w:rsid w:val="00D37A11"/>
    <w:rsid w:val="00D37D94"/>
    <w:rsid w:val="00D40F3A"/>
    <w:rsid w:val="00D4108D"/>
    <w:rsid w:val="00D41275"/>
    <w:rsid w:val="00D42136"/>
    <w:rsid w:val="00D42F66"/>
    <w:rsid w:val="00D4324E"/>
    <w:rsid w:val="00D435D7"/>
    <w:rsid w:val="00D43B0B"/>
    <w:rsid w:val="00D44223"/>
    <w:rsid w:val="00D4436C"/>
    <w:rsid w:val="00D446F7"/>
    <w:rsid w:val="00D44A1A"/>
    <w:rsid w:val="00D45706"/>
    <w:rsid w:val="00D467A8"/>
    <w:rsid w:val="00D4769B"/>
    <w:rsid w:val="00D47E47"/>
    <w:rsid w:val="00D505AA"/>
    <w:rsid w:val="00D50A15"/>
    <w:rsid w:val="00D52263"/>
    <w:rsid w:val="00D5240B"/>
    <w:rsid w:val="00D52AE7"/>
    <w:rsid w:val="00D52B5F"/>
    <w:rsid w:val="00D53660"/>
    <w:rsid w:val="00D5384A"/>
    <w:rsid w:val="00D53CD8"/>
    <w:rsid w:val="00D54235"/>
    <w:rsid w:val="00D54E99"/>
    <w:rsid w:val="00D54EC1"/>
    <w:rsid w:val="00D5552F"/>
    <w:rsid w:val="00D556A0"/>
    <w:rsid w:val="00D56888"/>
    <w:rsid w:val="00D56F0D"/>
    <w:rsid w:val="00D600ED"/>
    <w:rsid w:val="00D601C1"/>
    <w:rsid w:val="00D61400"/>
    <w:rsid w:val="00D620E1"/>
    <w:rsid w:val="00D641D2"/>
    <w:rsid w:val="00D64358"/>
    <w:rsid w:val="00D64F27"/>
    <w:rsid w:val="00D65E15"/>
    <w:rsid w:val="00D66394"/>
    <w:rsid w:val="00D66918"/>
    <w:rsid w:val="00D71DBB"/>
    <w:rsid w:val="00D7262A"/>
    <w:rsid w:val="00D732A1"/>
    <w:rsid w:val="00D73797"/>
    <w:rsid w:val="00D738EB"/>
    <w:rsid w:val="00D7418E"/>
    <w:rsid w:val="00D7617F"/>
    <w:rsid w:val="00D76465"/>
    <w:rsid w:val="00D76E7D"/>
    <w:rsid w:val="00D7770E"/>
    <w:rsid w:val="00D77F48"/>
    <w:rsid w:val="00D813D5"/>
    <w:rsid w:val="00D8196A"/>
    <w:rsid w:val="00D81D79"/>
    <w:rsid w:val="00D81F87"/>
    <w:rsid w:val="00D85525"/>
    <w:rsid w:val="00D85D04"/>
    <w:rsid w:val="00D85D6D"/>
    <w:rsid w:val="00D85DB9"/>
    <w:rsid w:val="00D86801"/>
    <w:rsid w:val="00D87105"/>
    <w:rsid w:val="00D873D7"/>
    <w:rsid w:val="00D878A2"/>
    <w:rsid w:val="00D924BE"/>
    <w:rsid w:val="00D92A1A"/>
    <w:rsid w:val="00D93104"/>
    <w:rsid w:val="00D95978"/>
    <w:rsid w:val="00D95E70"/>
    <w:rsid w:val="00D9623E"/>
    <w:rsid w:val="00D963F9"/>
    <w:rsid w:val="00D9652B"/>
    <w:rsid w:val="00D96738"/>
    <w:rsid w:val="00DA03CD"/>
    <w:rsid w:val="00DA0AEB"/>
    <w:rsid w:val="00DA1C4C"/>
    <w:rsid w:val="00DA2529"/>
    <w:rsid w:val="00DA3510"/>
    <w:rsid w:val="00DA35F1"/>
    <w:rsid w:val="00DA40AC"/>
    <w:rsid w:val="00DA426A"/>
    <w:rsid w:val="00DA4605"/>
    <w:rsid w:val="00DA54D6"/>
    <w:rsid w:val="00DA5AC5"/>
    <w:rsid w:val="00DA5D6F"/>
    <w:rsid w:val="00DA613B"/>
    <w:rsid w:val="00DA66D7"/>
    <w:rsid w:val="00DB048C"/>
    <w:rsid w:val="00DB130A"/>
    <w:rsid w:val="00DB1598"/>
    <w:rsid w:val="00DB2188"/>
    <w:rsid w:val="00DB22CD"/>
    <w:rsid w:val="00DB2B1E"/>
    <w:rsid w:val="00DB2EBB"/>
    <w:rsid w:val="00DB3682"/>
    <w:rsid w:val="00DB41EB"/>
    <w:rsid w:val="00DB4248"/>
    <w:rsid w:val="00DB42C4"/>
    <w:rsid w:val="00DB48EE"/>
    <w:rsid w:val="00DB4FDD"/>
    <w:rsid w:val="00DB57EC"/>
    <w:rsid w:val="00DB5D3D"/>
    <w:rsid w:val="00DC03E1"/>
    <w:rsid w:val="00DC0707"/>
    <w:rsid w:val="00DC0A05"/>
    <w:rsid w:val="00DC10A1"/>
    <w:rsid w:val="00DC183D"/>
    <w:rsid w:val="00DC1D30"/>
    <w:rsid w:val="00DC1F16"/>
    <w:rsid w:val="00DC20D8"/>
    <w:rsid w:val="00DC24CA"/>
    <w:rsid w:val="00DC442F"/>
    <w:rsid w:val="00DC5290"/>
    <w:rsid w:val="00DC566D"/>
    <w:rsid w:val="00DC655F"/>
    <w:rsid w:val="00DC6EA1"/>
    <w:rsid w:val="00DC6FE9"/>
    <w:rsid w:val="00DC7014"/>
    <w:rsid w:val="00DC761E"/>
    <w:rsid w:val="00DC7F03"/>
    <w:rsid w:val="00DC7F15"/>
    <w:rsid w:val="00DD0B59"/>
    <w:rsid w:val="00DD11D5"/>
    <w:rsid w:val="00DD2F27"/>
    <w:rsid w:val="00DD3D3C"/>
    <w:rsid w:val="00DD4679"/>
    <w:rsid w:val="00DD4810"/>
    <w:rsid w:val="00DD55CA"/>
    <w:rsid w:val="00DD67C5"/>
    <w:rsid w:val="00DD7EBD"/>
    <w:rsid w:val="00DD7FEA"/>
    <w:rsid w:val="00DE02CF"/>
    <w:rsid w:val="00DE0882"/>
    <w:rsid w:val="00DE0920"/>
    <w:rsid w:val="00DE0BE4"/>
    <w:rsid w:val="00DE0C38"/>
    <w:rsid w:val="00DE0C58"/>
    <w:rsid w:val="00DE14C6"/>
    <w:rsid w:val="00DE25F6"/>
    <w:rsid w:val="00DE2CDE"/>
    <w:rsid w:val="00DE2FAF"/>
    <w:rsid w:val="00DE4064"/>
    <w:rsid w:val="00DE4617"/>
    <w:rsid w:val="00DE46B4"/>
    <w:rsid w:val="00DE4844"/>
    <w:rsid w:val="00DE50AB"/>
    <w:rsid w:val="00DE52B7"/>
    <w:rsid w:val="00DE547B"/>
    <w:rsid w:val="00DE567A"/>
    <w:rsid w:val="00DE60BA"/>
    <w:rsid w:val="00DE6167"/>
    <w:rsid w:val="00DF2D37"/>
    <w:rsid w:val="00DF2DDD"/>
    <w:rsid w:val="00DF5BEB"/>
    <w:rsid w:val="00DF62B6"/>
    <w:rsid w:val="00DF6DAA"/>
    <w:rsid w:val="00E00061"/>
    <w:rsid w:val="00E00382"/>
    <w:rsid w:val="00E01660"/>
    <w:rsid w:val="00E022D2"/>
    <w:rsid w:val="00E0264D"/>
    <w:rsid w:val="00E027DB"/>
    <w:rsid w:val="00E03D3C"/>
    <w:rsid w:val="00E0452F"/>
    <w:rsid w:val="00E04701"/>
    <w:rsid w:val="00E0475B"/>
    <w:rsid w:val="00E067DD"/>
    <w:rsid w:val="00E06CA0"/>
    <w:rsid w:val="00E06FA7"/>
    <w:rsid w:val="00E07183"/>
    <w:rsid w:val="00E07225"/>
    <w:rsid w:val="00E074C2"/>
    <w:rsid w:val="00E07E8A"/>
    <w:rsid w:val="00E105D0"/>
    <w:rsid w:val="00E11C67"/>
    <w:rsid w:val="00E12743"/>
    <w:rsid w:val="00E139D9"/>
    <w:rsid w:val="00E13F7F"/>
    <w:rsid w:val="00E1426E"/>
    <w:rsid w:val="00E147E6"/>
    <w:rsid w:val="00E1490F"/>
    <w:rsid w:val="00E14D11"/>
    <w:rsid w:val="00E14DF9"/>
    <w:rsid w:val="00E15DB3"/>
    <w:rsid w:val="00E15DDD"/>
    <w:rsid w:val="00E15EF7"/>
    <w:rsid w:val="00E1619E"/>
    <w:rsid w:val="00E20D6D"/>
    <w:rsid w:val="00E21068"/>
    <w:rsid w:val="00E21700"/>
    <w:rsid w:val="00E21C5F"/>
    <w:rsid w:val="00E223F5"/>
    <w:rsid w:val="00E2251D"/>
    <w:rsid w:val="00E22897"/>
    <w:rsid w:val="00E229F2"/>
    <w:rsid w:val="00E22C6D"/>
    <w:rsid w:val="00E235F9"/>
    <w:rsid w:val="00E238C3"/>
    <w:rsid w:val="00E23F53"/>
    <w:rsid w:val="00E241AB"/>
    <w:rsid w:val="00E24698"/>
    <w:rsid w:val="00E255C2"/>
    <w:rsid w:val="00E255FB"/>
    <w:rsid w:val="00E2649B"/>
    <w:rsid w:val="00E26C33"/>
    <w:rsid w:val="00E26EEE"/>
    <w:rsid w:val="00E2765E"/>
    <w:rsid w:val="00E278A3"/>
    <w:rsid w:val="00E30363"/>
    <w:rsid w:val="00E30915"/>
    <w:rsid w:val="00E31EA4"/>
    <w:rsid w:val="00E31FA6"/>
    <w:rsid w:val="00E32105"/>
    <w:rsid w:val="00E32C3F"/>
    <w:rsid w:val="00E33150"/>
    <w:rsid w:val="00E33785"/>
    <w:rsid w:val="00E33F61"/>
    <w:rsid w:val="00E33FAC"/>
    <w:rsid w:val="00E34A10"/>
    <w:rsid w:val="00E3679D"/>
    <w:rsid w:val="00E37A12"/>
    <w:rsid w:val="00E40E92"/>
    <w:rsid w:val="00E41B6B"/>
    <w:rsid w:val="00E41BCB"/>
    <w:rsid w:val="00E41C7E"/>
    <w:rsid w:val="00E433E5"/>
    <w:rsid w:val="00E43E77"/>
    <w:rsid w:val="00E455A9"/>
    <w:rsid w:val="00E45C8A"/>
    <w:rsid w:val="00E45E41"/>
    <w:rsid w:val="00E46220"/>
    <w:rsid w:val="00E464C6"/>
    <w:rsid w:val="00E466F6"/>
    <w:rsid w:val="00E46F92"/>
    <w:rsid w:val="00E46FA7"/>
    <w:rsid w:val="00E506B3"/>
    <w:rsid w:val="00E51813"/>
    <w:rsid w:val="00E51977"/>
    <w:rsid w:val="00E53B2E"/>
    <w:rsid w:val="00E53EB8"/>
    <w:rsid w:val="00E5409F"/>
    <w:rsid w:val="00E54AF5"/>
    <w:rsid w:val="00E54C82"/>
    <w:rsid w:val="00E55E94"/>
    <w:rsid w:val="00E56037"/>
    <w:rsid w:val="00E560DD"/>
    <w:rsid w:val="00E56684"/>
    <w:rsid w:val="00E57A85"/>
    <w:rsid w:val="00E602F4"/>
    <w:rsid w:val="00E620AB"/>
    <w:rsid w:val="00E63DB2"/>
    <w:rsid w:val="00E652A9"/>
    <w:rsid w:val="00E66501"/>
    <w:rsid w:val="00E6664E"/>
    <w:rsid w:val="00E67931"/>
    <w:rsid w:val="00E7098C"/>
    <w:rsid w:val="00E70C29"/>
    <w:rsid w:val="00E70EE1"/>
    <w:rsid w:val="00E7134A"/>
    <w:rsid w:val="00E717CD"/>
    <w:rsid w:val="00E72D86"/>
    <w:rsid w:val="00E73AAA"/>
    <w:rsid w:val="00E73AB5"/>
    <w:rsid w:val="00E74925"/>
    <w:rsid w:val="00E74964"/>
    <w:rsid w:val="00E74BEC"/>
    <w:rsid w:val="00E75CCA"/>
    <w:rsid w:val="00E7687C"/>
    <w:rsid w:val="00E77546"/>
    <w:rsid w:val="00E775CC"/>
    <w:rsid w:val="00E77DDC"/>
    <w:rsid w:val="00E77E7B"/>
    <w:rsid w:val="00E82E2D"/>
    <w:rsid w:val="00E83023"/>
    <w:rsid w:val="00E8332E"/>
    <w:rsid w:val="00E85E32"/>
    <w:rsid w:val="00E87DC9"/>
    <w:rsid w:val="00E9022B"/>
    <w:rsid w:val="00E90A29"/>
    <w:rsid w:val="00E9119E"/>
    <w:rsid w:val="00E91287"/>
    <w:rsid w:val="00E926BE"/>
    <w:rsid w:val="00E9413C"/>
    <w:rsid w:val="00E94198"/>
    <w:rsid w:val="00E94E7C"/>
    <w:rsid w:val="00E97960"/>
    <w:rsid w:val="00E97A1B"/>
    <w:rsid w:val="00EA048B"/>
    <w:rsid w:val="00EA04A9"/>
    <w:rsid w:val="00EA2384"/>
    <w:rsid w:val="00EA3096"/>
    <w:rsid w:val="00EA339D"/>
    <w:rsid w:val="00EA345D"/>
    <w:rsid w:val="00EA3964"/>
    <w:rsid w:val="00EA3D20"/>
    <w:rsid w:val="00EA463A"/>
    <w:rsid w:val="00EA4D66"/>
    <w:rsid w:val="00EA4FEB"/>
    <w:rsid w:val="00EA54DF"/>
    <w:rsid w:val="00EA5825"/>
    <w:rsid w:val="00EA5FDA"/>
    <w:rsid w:val="00EA75DF"/>
    <w:rsid w:val="00EA79A4"/>
    <w:rsid w:val="00EB12DC"/>
    <w:rsid w:val="00EB1E6D"/>
    <w:rsid w:val="00EB21A7"/>
    <w:rsid w:val="00EB50D5"/>
    <w:rsid w:val="00EB5335"/>
    <w:rsid w:val="00EB5710"/>
    <w:rsid w:val="00EB5760"/>
    <w:rsid w:val="00EB5943"/>
    <w:rsid w:val="00EC071A"/>
    <w:rsid w:val="00EC0A4F"/>
    <w:rsid w:val="00EC2031"/>
    <w:rsid w:val="00EC2126"/>
    <w:rsid w:val="00EC2138"/>
    <w:rsid w:val="00EC24B0"/>
    <w:rsid w:val="00EC3767"/>
    <w:rsid w:val="00EC4752"/>
    <w:rsid w:val="00EC583C"/>
    <w:rsid w:val="00EC7512"/>
    <w:rsid w:val="00EC794F"/>
    <w:rsid w:val="00ED1D14"/>
    <w:rsid w:val="00ED1EA5"/>
    <w:rsid w:val="00ED24A3"/>
    <w:rsid w:val="00ED2B71"/>
    <w:rsid w:val="00ED47FB"/>
    <w:rsid w:val="00ED4880"/>
    <w:rsid w:val="00ED6133"/>
    <w:rsid w:val="00ED7652"/>
    <w:rsid w:val="00ED7761"/>
    <w:rsid w:val="00ED7818"/>
    <w:rsid w:val="00ED7E97"/>
    <w:rsid w:val="00EE053E"/>
    <w:rsid w:val="00EE05D3"/>
    <w:rsid w:val="00EE0931"/>
    <w:rsid w:val="00EE0ABC"/>
    <w:rsid w:val="00EE0CDD"/>
    <w:rsid w:val="00EE17BF"/>
    <w:rsid w:val="00EE20D1"/>
    <w:rsid w:val="00EE3A2C"/>
    <w:rsid w:val="00EE3BF1"/>
    <w:rsid w:val="00EE45C9"/>
    <w:rsid w:val="00EE4659"/>
    <w:rsid w:val="00EE467C"/>
    <w:rsid w:val="00EE4CA8"/>
    <w:rsid w:val="00EE644C"/>
    <w:rsid w:val="00EE6488"/>
    <w:rsid w:val="00EE6CBA"/>
    <w:rsid w:val="00EE71AF"/>
    <w:rsid w:val="00EE7A85"/>
    <w:rsid w:val="00EE7DF4"/>
    <w:rsid w:val="00EF0704"/>
    <w:rsid w:val="00EF0FCF"/>
    <w:rsid w:val="00EF1594"/>
    <w:rsid w:val="00EF1B90"/>
    <w:rsid w:val="00EF2405"/>
    <w:rsid w:val="00EF2928"/>
    <w:rsid w:val="00EF2A9C"/>
    <w:rsid w:val="00EF3819"/>
    <w:rsid w:val="00EF5115"/>
    <w:rsid w:val="00F003C0"/>
    <w:rsid w:val="00F00E4E"/>
    <w:rsid w:val="00F01053"/>
    <w:rsid w:val="00F01765"/>
    <w:rsid w:val="00F0182B"/>
    <w:rsid w:val="00F01852"/>
    <w:rsid w:val="00F020D2"/>
    <w:rsid w:val="00F021FA"/>
    <w:rsid w:val="00F02F35"/>
    <w:rsid w:val="00F0427C"/>
    <w:rsid w:val="00F045F3"/>
    <w:rsid w:val="00F04E51"/>
    <w:rsid w:val="00F06B0B"/>
    <w:rsid w:val="00F07401"/>
    <w:rsid w:val="00F076E9"/>
    <w:rsid w:val="00F112E4"/>
    <w:rsid w:val="00F118C4"/>
    <w:rsid w:val="00F12565"/>
    <w:rsid w:val="00F1264C"/>
    <w:rsid w:val="00F13CFC"/>
    <w:rsid w:val="00F140D2"/>
    <w:rsid w:val="00F146E7"/>
    <w:rsid w:val="00F1530B"/>
    <w:rsid w:val="00F159CD"/>
    <w:rsid w:val="00F16335"/>
    <w:rsid w:val="00F1661D"/>
    <w:rsid w:val="00F16DFB"/>
    <w:rsid w:val="00F17B84"/>
    <w:rsid w:val="00F20821"/>
    <w:rsid w:val="00F208A0"/>
    <w:rsid w:val="00F21378"/>
    <w:rsid w:val="00F21730"/>
    <w:rsid w:val="00F23FD3"/>
    <w:rsid w:val="00F245C8"/>
    <w:rsid w:val="00F24789"/>
    <w:rsid w:val="00F2483B"/>
    <w:rsid w:val="00F2500B"/>
    <w:rsid w:val="00F254BC"/>
    <w:rsid w:val="00F257BB"/>
    <w:rsid w:val="00F25C86"/>
    <w:rsid w:val="00F264F7"/>
    <w:rsid w:val="00F2791B"/>
    <w:rsid w:val="00F27A68"/>
    <w:rsid w:val="00F305FC"/>
    <w:rsid w:val="00F3083A"/>
    <w:rsid w:val="00F30929"/>
    <w:rsid w:val="00F3248D"/>
    <w:rsid w:val="00F3332F"/>
    <w:rsid w:val="00F3365F"/>
    <w:rsid w:val="00F339E9"/>
    <w:rsid w:val="00F33E62"/>
    <w:rsid w:val="00F345E7"/>
    <w:rsid w:val="00F346BD"/>
    <w:rsid w:val="00F34B6A"/>
    <w:rsid w:val="00F34EF7"/>
    <w:rsid w:val="00F3549A"/>
    <w:rsid w:val="00F35A29"/>
    <w:rsid w:val="00F361A8"/>
    <w:rsid w:val="00F36300"/>
    <w:rsid w:val="00F36D2C"/>
    <w:rsid w:val="00F37A15"/>
    <w:rsid w:val="00F37AA4"/>
    <w:rsid w:val="00F404EC"/>
    <w:rsid w:val="00F40793"/>
    <w:rsid w:val="00F41E00"/>
    <w:rsid w:val="00F42BA7"/>
    <w:rsid w:val="00F433E5"/>
    <w:rsid w:val="00F43B36"/>
    <w:rsid w:val="00F44C94"/>
    <w:rsid w:val="00F4524F"/>
    <w:rsid w:val="00F4535B"/>
    <w:rsid w:val="00F455DC"/>
    <w:rsid w:val="00F455E5"/>
    <w:rsid w:val="00F45F1D"/>
    <w:rsid w:val="00F4637F"/>
    <w:rsid w:val="00F4668B"/>
    <w:rsid w:val="00F47199"/>
    <w:rsid w:val="00F50015"/>
    <w:rsid w:val="00F50BC0"/>
    <w:rsid w:val="00F50C13"/>
    <w:rsid w:val="00F51E4E"/>
    <w:rsid w:val="00F53BE6"/>
    <w:rsid w:val="00F549B4"/>
    <w:rsid w:val="00F54AC4"/>
    <w:rsid w:val="00F54CE7"/>
    <w:rsid w:val="00F557E9"/>
    <w:rsid w:val="00F561BB"/>
    <w:rsid w:val="00F56357"/>
    <w:rsid w:val="00F5639A"/>
    <w:rsid w:val="00F567A4"/>
    <w:rsid w:val="00F56E63"/>
    <w:rsid w:val="00F6030B"/>
    <w:rsid w:val="00F60C6C"/>
    <w:rsid w:val="00F6136E"/>
    <w:rsid w:val="00F6203D"/>
    <w:rsid w:val="00F62228"/>
    <w:rsid w:val="00F62E97"/>
    <w:rsid w:val="00F63759"/>
    <w:rsid w:val="00F64209"/>
    <w:rsid w:val="00F65215"/>
    <w:rsid w:val="00F6535F"/>
    <w:rsid w:val="00F6605C"/>
    <w:rsid w:val="00F66670"/>
    <w:rsid w:val="00F66A2D"/>
    <w:rsid w:val="00F66BC6"/>
    <w:rsid w:val="00F66E79"/>
    <w:rsid w:val="00F670CA"/>
    <w:rsid w:val="00F677A8"/>
    <w:rsid w:val="00F70443"/>
    <w:rsid w:val="00F70F65"/>
    <w:rsid w:val="00F71440"/>
    <w:rsid w:val="00F714DE"/>
    <w:rsid w:val="00F717AA"/>
    <w:rsid w:val="00F71B11"/>
    <w:rsid w:val="00F72607"/>
    <w:rsid w:val="00F72E58"/>
    <w:rsid w:val="00F73740"/>
    <w:rsid w:val="00F73751"/>
    <w:rsid w:val="00F74917"/>
    <w:rsid w:val="00F74B63"/>
    <w:rsid w:val="00F76719"/>
    <w:rsid w:val="00F767BF"/>
    <w:rsid w:val="00F76E2B"/>
    <w:rsid w:val="00F7747C"/>
    <w:rsid w:val="00F7772E"/>
    <w:rsid w:val="00F7778E"/>
    <w:rsid w:val="00F77B6F"/>
    <w:rsid w:val="00F77F4F"/>
    <w:rsid w:val="00F801DC"/>
    <w:rsid w:val="00F80DAA"/>
    <w:rsid w:val="00F83709"/>
    <w:rsid w:val="00F837EF"/>
    <w:rsid w:val="00F843AD"/>
    <w:rsid w:val="00F8441B"/>
    <w:rsid w:val="00F852BD"/>
    <w:rsid w:val="00F85944"/>
    <w:rsid w:val="00F85C12"/>
    <w:rsid w:val="00F85F5B"/>
    <w:rsid w:val="00F865DF"/>
    <w:rsid w:val="00F86CD3"/>
    <w:rsid w:val="00F871EA"/>
    <w:rsid w:val="00F873D4"/>
    <w:rsid w:val="00F876B6"/>
    <w:rsid w:val="00F877FA"/>
    <w:rsid w:val="00F87995"/>
    <w:rsid w:val="00F90562"/>
    <w:rsid w:val="00F90A4F"/>
    <w:rsid w:val="00F91353"/>
    <w:rsid w:val="00F9165B"/>
    <w:rsid w:val="00F917BD"/>
    <w:rsid w:val="00F93BF5"/>
    <w:rsid w:val="00F9414E"/>
    <w:rsid w:val="00F94875"/>
    <w:rsid w:val="00F94894"/>
    <w:rsid w:val="00F94B41"/>
    <w:rsid w:val="00F95457"/>
    <w:rsid w:val="00F955F3"/>
    <w:rsid w:val="00F978A3"/>
    <w:rsid w:val="00FA02AD"/>
    <w:rsid w:val="00FA0F99"/>
    <w:rsid w:val="00FA1E50"/>
    <w:rsid w:val="00FA235C"/>
    <w:rsid w:val="00FA2F88"/>
    <w:rsid w:val="00FA344A"/>
    <w:rsid w:val="00FA3A96"/>
    <w:rsid w:val="00FA4C35"/>
    <w:rsid w:val="00FA6E17"/>
    <w:rsid w:val="00FA7E03"/>
    <w:rsid w:val="00FB118B"/>
    <w:rsid w:val="00FB1FAB"/>
    <w:rsid w:val="00FB28A8"/>
    <w:rsid w:val="00FB2949"/>
    <w:rsid w:val="00FB3125"/>
    <w:rsid w:val="00FB359A"/>
    <w:rsid w:val="00FB37CD"/>
    <w:rsid w:val="00FB3E9C"/>
    <w:rsid w:val="00FB461B"/>
    <w:rsid w:val="00FB4BB3"/>
    <w:rsid w:val="00FB6031"/>
    <w:rsid w:val="00FB6163"/>
    <w:rsid w:val="00FB66BE"/>
    <w:rsid w:val="00FB69B5"/>
    <w:rsid w:val="00FB6E24"/>
    <w:rsid w:val="00FB6E42"/>
    <w:rsid w:val="00FC0B2F"/>
    <w:rsid w:val="00FC1D51"/>
    <w:rsid w:val="00FC35B0"/>
    <w:rsid w:val="00FC4FC2"/>
    <w:rsid w:val="00FC7FB5"/>
    <w:rsid w:val="00FD1168"/>
    <w:rsid w:val="00FD133E"/>
    <w:rsid w:val="00FD247A"/>
    <w:rsid w:val="00FD36AB"/>
    <w:rsid w:val="00FD396C"/>
    <w:rsid w:val="00FD3E4F"/>
    <w:rsid w:val="00FD47EA"/>
    <w:rsid w:val="00FD52B3"/>
    <w:rsid w:val="00FD56C6"/>
    <w:rsid w:val="00FD5F5C"/>
    <w:rsid w:val="00FD6051"/>
    <w:rsid w:val="00FD6D69"/>
    <w:rsid w:val="00FD778D"/>
    <w:rsid w:val="00FE0180"/>
    <w:rsid w:val="00FE02A0"/>
    <w:rsid w:val="00FE0E38"/>
    <w:rsid w:val="00FE16A9"/>
    <w:rsid w:val="00FE2757"/>
    <w:rsid w:val="00FE2C29"/>
    <w:rsid w:val="00FE2E45"/>
    <w:rsid w:val="00FE4915"/>
    <w:rsid w:val="00FE6A7B"/>
    <w:rsid w:val="00FE729A"/>
    <w:rsid w:val="00FE7306"/>
    <w:rsid w:val="00FE795E"/>
    <w:rsid w:val="00FF0A55"/>
    <w:rsid w:val="00FF0A59"/>
    <w:rsid w:val="00FF15DC"/>
    <w:rsid w:val="00FF17BF"/>
    <w:rsid w:val="00FF3A3B"/>
    <w:rsid w:val="00FF3AB3"/>
    <w:rsid w:val="00FF3FF7"/>
    <w:rsid w:val="00FF47DA"/>
    <w:rsid w:val="00FF6527"/>
    <w:rsid w:val="152298B6"/>
    <w:rsid w:val="3946BDF3"/>
    <w:rsid w:val="4E1FAF81"/>
    <w:rsid w:val="56418BE3"/>
    <w:rsid w:val="5AC18D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3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E9413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
    <w:basedOn w:val="Normal"/>
    <w:next w:val="ParaNum"/>
    <w:link w:val="Heading2Char"/>
    <w:autoRedefine/>
    <w:qFormat/>
    <w:rsid w:val="00E652A9"/>
    <w:pPr>
      <w:keepNext/>
      <w:numPr>
        <w:ilvl w:val="1"/>
        <w:numId w:val="2"/>
      </w:numPr>
      <w:spacing w:after="120"/>
      <w:outlineLvl w:val="1"/>
    </w:pPr>
    <w:rPr>
      <w:b/>
      <w:szCs w:val="22"/>
    </w:rPr>
  </w:style>
  <w:style w:type="paragraph" w:styleId="Heading3">
    <w:name w:val="heading 3"/>
    <w:aliases w:val="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E9413C"/>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E9413C"/>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E9413C"/>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E9413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9413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9413C"/>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E9413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E9413C"/>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basedOn w:val="DefaultParagraphFont"/>
    <w:link w:val="Heading2"/>
    <w:rsid w:val="00E652A9"/>
    <w:rPr>
      <w:rFonts w:ascii="Times New Roman" w:eastAsia="Times New Roman" w:hAnsi="Times New Roman" w:cs="Times New Roman"/>
      <w:b/>
      <w:snapToGrid w:val="0"/>
      <w:kern w:val="28"/>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basedOn w:val="DefaultParagraphFont"/>
    <w:link w:val="Heading3"/>
    <w:rsid w:val="00E9413C"/>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basedOn w:val="DefaultParagraphFont"/>
    <w:link w:val="Heading4"/>
    <w:rsid w:val="00E9413C"/>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E9413C"/>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E9413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9413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9413C"/>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E9413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9413C"/>
    <w:pPr>
      <w:numPr>
        <w:numId w:val="1"/>
      </w:numPr>
      <w:spacing w:after="120"/>
    </w:p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uiPriority w:val="99"/>
    <w:rsid w:val="00E9413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 Char Char Char Char"/>
    <w:basedOn w:val="DefaultParagraphFont"/>
    <w:link w:val="FootnoteText"/>
    <w:uiPriority w:val="99"/>
    <w:rsid w:val="00E9413C"/>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E9413C"/>
    <w:rPr>
      <w:rFonts w:ascii="Times New Roman" w:hAnsi="Times New Roman"/>
      <w:dstrike w:val="0"/>
      <w:color w:val="auto"/>
      <w:sz w:val="20"/>
      <w:vertAlign w:val="superscript"/>
    </w:rPr>
  </w:style>
  <w:style w:type="paragraph" w:styleId="Header">
    <w:name w:val="header"/>
    <w:basedOn w:val="Normal"/>
    <w:link w:val="HeaderChar"/>
    <w:autoRedefine/>
    <w:rsid w:val="00403A0F"/>
    <w:pPr>
      <w:tabs>
        <w:tab w:val="center" w:pos="4680"/>
        <w:tab w:val="right" w:pos="9360"/>
      </w:tabs>
      <w:jc w:val="center"/>
    </w:pPr>
    <w:rPr>
      <w:b/>
    </w:rPr>
  </w:style>
  <w:style w:type="character" w:customStyle="1" w:styleId="HeaderChar">
    <w:name w:val="Header Char"/>
    <w:basedOn w:val="DefaultParagraphFont"/>
    <w:link w:val="Header"/>
    <w:rsid w:val="00403A0F"/>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9413C"/>
    <w:pPr>
      <w:tabs>
        <w:tab w:val="center" w:pos="4320"/>
        <w:tab w:val="right" w:pos="8640"/>
      </w:tabs>
    </w:pPr>
  </w:style>
  <w:style w:type="character" w:customStyle="1" w:styleId="FooterChar">
    <w:name w:val="Footer Char"/>
    <w:basedOn w:val="DefaultParagraphFont"/>
    <w:link w:val="Footer"/>
    <w:uiPriority w:val="99"/>
    <w:rsid w:val="00E9413C"/>
    <w:rPr>
      <w:rFonts w:ascii="Times New Roman" w:eastAsia="Times New Roman" w:hAnsi="Times New Roman" w:cs="Times New Roman"/>
      <w:snapToGrid w:val="0"/>
      <w:kern w:val="28"/>
      <w:szCs w:val="20"/>
    </w:rPr>
  </w:style>
  <w:style w:type="character" w:styleId="Hyperlink">
    <w:name w:val="Hyperlink"/>
    <w:uiPriority w:val="99"/>
    <w:rsid w:val="00E9413C"/>
    <w:rPr>
      <w:color w:val="0000FF"/>
      <w:u w:val="single"/>
    </w:rPr>
  </w:style>
  <w:style w:type="character" w:styleId="CommentReference">
    <w:name w:val="annotation reference"/>
    <w:uiPriority w:val="99"/>
    <w:rsid w:val="00E9413C"/>
    <w:rPr>
      <w:sz w:val="16"/>
      <w:szCs w:val="16"/>
    </w:rPr>
  </w:style>
  <w:style w:type="paragraph" w:styleId="CommentText">
    <w:name w:val="annotation text"/>
    <w:basedOn w:val="Normal"/>
    <w:link w:val="CommentTextChar"/>
    <w:uiPriority w:val="99"/>
    <w:rsid w:val="00E9413C"/>
    <w:pPr>
      <w:widowControl/>
      <w:spacing w:after="160" w:line="259" w:lineRule="auto"/>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E9413C"/>
    <w:rPr>
      <w:rFonts w:ascii="Calibri" w:eastAsia="Calibri" w:hAnsi="Calibri" w:cs="Times New Roman"/>
      <w:sz w:val="20"/>
      <w:szCs w:val="20"/>
    </w:rPr>
  </w:style>
  <w:style w:type="table" w:styleId="TableGrid">
    <w:name w:val="Table Grid"/>
    <w:basedOn w:val="TableNormal"/>
    <w:rsid w:val="00E94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E9413C"/>
  </w:style>
  <w:style w:type="character" w:customStyle="1" w:styleId="ParaNumChar">
    <w:name w:val="ParaNum Char"/>
    <w:link w:val="ParaNum"/>
    <w:locked/>
    <w:rsid w:val="00E9413C"/>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E94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3C"/>
    <w:rPr>
      <w:rFonts w:ascii="Segoe UI" w:eastAsia="Times New Roman" w:hAnsi="Segoe UI" w:cs="Segoe UI"/>
      <w:snapToGrid w:val="0"/>
      <w:kern w:val="28"/>
      <w:sz w:val="18"/>
      <w:szCs w:val="18"/>
    </w:rPr>
  </w:style>
  <w:style w:type="character" w:styleId="FollowedHyperlink">
    <w:name w:val="FollowedHyperlink"/>
    <w:basedOn w:val="DefaultParagraphFont"/>
    <w:uiPriority w:val="99"/>
    <w:semiHidden/>
    <w:unhideWhenUsed/>
    <w:rsid w:val="00E9413C"/>
    <w:rPr>
      <w:color w:val="800080" w:themeColor="followedHyperlink"/>
      <w:u w:val="single"/>
    </w:rPr>
  </w:style>
  <w:style w:type="paragraph" w:styleId="TOC1">
    <w:name w:val="toc 1"/>
    <w:basedOn w:val="Normal"/>
    <w:next w:val="Normal"/>
    <w:uiPriority w:val="39"/>
    <w:rsid w:val="00E9413C"/>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9413C"/>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9413C"/>
    <w:pPr>
      <w:tabs>
        <w:tab w:val="left" w:pos="1080"/>
        <w:tab w:val="right" w:leader="dot" w:pos="9360"/>
      </w:tabs>
      <w:suppressAutoHyphens/>
      <w:ind w:left="1080" w:right="720" w:hanging="360"/>
    </w:pPr>
    <w:rPr>
      <w:noProof/>
    </w:rPr>
  </w:style>
  <w:style w:type="paragraph" w:styleId="TOCHeading">
    <w:name w:val="TOC Heading"/>
    <w:basedOn w:val="Heading1"/>
    <w:next w:val="Normal"/>
    <w:uiPriority w:val="39"/>
    <w:unhideWhenUsed/>
    <w:qFormat/>
    <w:rsid w:val="00E9413C"/>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365F91" w:themeColor="accent1" w:themeShade="BF"/>
      <w:kern w:val="0"/>
      <w:sz w:val="32"/>
      <w:szCs w:val="32"/>
    </w:rPr>
  </w:style>
  <w:style w:type="paragraph" w:styleId="CommentSubject">
    <w:name w:val="annotation subject"/>
    <w:basedOn w:val="CommentText"/>
    <w:next w:val="CommentText"/>
    <w:link w:val="CommentSubjectChar"/>
    <w:uiPriority w:val="99"/>
    <w:semiHidden/>
    <w:unhideWhenUsed/>
    <w:rsid w:val="003479A8"/>
    <w:pPr>
      <w:widowControl w:val="0"/>
      <w:spacing w:after="0" w:line="240" w:lineRule="auto"/>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uiPriority w:val="99"/>
    <w:semiHidden/>
    <w:rsid w:val="003479A8"/>
    <w:rPr>
      <w:rFonts w:ascii="Times New Roman" w:eastAsia="Times New Roman" w:hAnsi="Times New Roman" w:cs="Times New Roman"/>
      <w:b/>
      <w:bCs/>
      <w:snapToGrid w:val="0"/>
      <w:kern w:val="28"/>
      <w:sz w:val="20"/>
      <w:szCs w:val="20"/>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hits1">
    <w:name w:val="hits1"/>
    <w:basedOn w:val="DefaultParagraphFont"/>
    <w:rPr>
      <w:color w:val="FF0000"/>
    </w:rPr>
  </w:style>
  <w:style w:type="paragraph" w:styleId="Revision">
    <w:name w:val="Revision"/>
    <w:hidden/>
    <w:uiPriority w:val="99"/>
    <w:semiHidden/>
    <w:rsid w:val="0011495D"/>
    <w:pPr>
      <w:spacing w:after="0" w:line="240" w:lineRule="auto"/>
    </w:pPr>
    <w:rPr>
      <w:rFonts w:ascii="Times New Roman" w:eastAsia="Times New Roman" w:hAnsi="Times New Roman" w:cs="Times New Roman"/>
      <w:snapToGrid w:val="0"/>
      <w:kern w:val="28"/>
      <w:szCs w:val="20"/>
    </w:rPr>
  </w:style>
  <w:style w:type="character" w:customStyle="1" w:styleId="UnresolvedMention1">
    <w:name w:val="Unresolved Mention1"/>
    <w:basedOn w:val="DefaultParagraphFont"/>
    <w:uiPriority w:val="99"/>
    <w:semiHidden/>
    <w:unhideWhenUsed/>
    <w:rsid w:val="00C25052"/>
    <w:rPr>
      <w:color w:val="808080"/>
      <w:shd w:val="clear" w:color="auto" w:fill="E6E6E6"/>
    </w:rPr>
  </w:style>
  <w:style w:type="character" w:customStyle="1" w:styleId="UnresolvedMention2">
    <w:name w:val="Unresolved Mention2"/>
    <w:basedOn w:val="DefaultParagraphFont"/>
    <w:uiPriority w:val="99"/>
    <w:semiHidden/>
    <w:unhideWhenUsed/>
    <w:rsid w:val="006C5700"/>
    <w:rPr>
      <w:color w:val="808080"/>
      <w:shd w:val="clear" w:color="auto" w:fill="E6E6E6"/>
    </w:rPr>
  </w:style>
  <w:style w:type="paragraph" w:customStyle="1" w:styleId="Default">
    <w:name w:val="Default"/>
    <w:rsid w:val="00884C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5353"/>
    <w:pPr>
      <w:ind w:left="720"/>
      <w:contextualSpacing/>
    </w:pPr>
  </w:style>
  <w:style w:type="paragraph" w:styleId="NormalWeb">
    <w:name w:val="Normal (Web)"/>
    <w:basedOn w:val="Normal"/>
    <w:uiPriority w:val="99"/>
    <w:unhideWhenUsed/>
    <w:rsid w:val="00993290"/>
    <w:pPr>
      <w:widowControl/>
    </w:pPr>
    <w:rPr>
      <w:rFonts w:eastAsiaTheme="minorHAns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1018-FBB8-4875-92C6-01EC9473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7880</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2018-04-09T18:44:41Z</dcterms:created>
  <dcterms:modified xsi:type="dcterms:W3CDTF">2018-04-09T18:44:41Z</dcterms:modified>
</cp:coreProperties>
</file>