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B11BB5">
        <w:rPr>
          <w:rFonts w:ascii="Times New Roman" w:hAnsi="Times New Roman"/>
        </w:rPr>
        <w:t>April 13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B11BB5">
        <w:rPr>
          <w:rFonts w:ascii="Times New Roman" w:hAnsi="Times New Roman"/>
        </w:rPr>
        <w:t>APRIL 17</w:t>
      </w:r>
      <w:r w:rsidR="00957BBD">
        <w:rPr>
          <w:rFonts w:ascii="Times New Roman" w:hAnsi="Times New Roman"/>
        </w:rPr>
        <w:t>,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F431B4">
        <w:t xml:space="preserve"> has</w:t>
      </w:r>
      <w:r w:rsidRPr="007A1E25">
        <w:t xml:space="preserve"> been</w:t>
      </w:r>
      <w:r w:rsidR="00AA7828">
        <w:t xml:space="preserve"> </w:t>
      </w:r>
      <w:r w:rsidR="000D7999">
        <w:t>released</w:t>
      </w:r>
      <w:r w:rsidR="00AA7828">
        <w:t xml:space="preserve"> by the Commission,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8D5A81">
        <w:t>T</w:t>
      </w:r>
      <w:r w:rsidR="00B11BB5">
        <w:t>uesday</w:t>
      </w:r>
      <w:r w:rsidRPr="007A1E25">
        <w:t>,</w:t>
      </w:r>
      <w:r w:rsidR="00F431B4">
        <w:t xml:space="preserve"> </w:t>
      </w:r>
      <w:r w:rsidR="00B11BB5">
        <w:t>April 17</w:t>
      </w:r>
      <w:r w:rsidR="00F431B4">
        <w:t>, 2018</w:t>
      </w:r>
      <w:r w:rsidRPr="007A1E25">
        <w:t>, Open Meeting and previously listed in the Commission’s Notice of</w:t>
      </w:r>
      <w:r w:rsidR="00195AD5">
        <w:t xml:space="preserve"> </w:t>
      </w:r>
      <w:r w:rsidR="00B11BB5">
        <w:t>Tuesday</w:t>
      </w:r>
      <w:r w:rsidR="00195AD5">
        <w:t>,</w:t>
      </w:r>
      <w:r w:rsidRPr="007A1E25">
        <w:t xml:space="preserve"> </w:t>
      </w:r>
      <w:r w:rsidR="00B11BB5">
        <w:t>April 10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921937" w:rsidP="0068398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/>
              <w:jc w:val="center"/>
              <w:rPr>
                <w:rStyle w:val="DefaultParagraphFont"/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880" w:type="dxa"/>
          </w:tcPr>
          <w:p w:rsidR="007D7669" w:rsidRPr="00921937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Style w:val="DefaultParagraphFont"/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>MEDIA</w:t>
            </w:r>
          </w:p>
        </w:tc>
        <w:tc>
          <w:tcPr>
            <w:tcW w:w="5220" w:type="dxa"/>
          </w:tcPr>
          <w:p w:rsidR="007146D0" w:rsidP="00164DAE">
            <w:pPr>
              <w:widowControl/>
              <w:suppressAutoHyphens/>
              <w:autoSpaceDE/>
              <w:autoSpaceDN w:val="0"/>
              <w:adjustRightInd/>
              <w:spacing w:before="90" w:after="54"/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 xml:space="preserve">TITLE:  </w:t>
            </w:r>
            <w:r w:rsidRPr="00B11BB5" w:rsidR="00B11BB5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Amendment of Section 73.624(g) of the Commission’s Rules Regarding Submission of FCC Form 2100, Schedule G, Used to Report TV Stations’ Ancillary or Supplementary Services (MB Docket No. 17-264); Modernization of Media Regulation Initiative (MB Docket No. 17-105)</w:t>
            </w:r>
          </w:p>
          <w:p w:rsidR="007146D0" w:rsidRPr="000B463B" w:rsidP="00164DAE">
            <w:pPr>
              <w:widowControl/>
              <w:suppressAutoHyphens/>
              <w:autoSpaceDE/>
              <w:autoSpaceDN w:val="0"/>
              <w:adjustRightInd/>
              <w:spacing w:before="90" w:after="54"/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 xml:space="preserve">SUMMARY: </w:t>
            </w:r>
            <w:r w:rsidR="009F53F1">
              <w:rPr>
                <w:rFonts w:ascii="Times New Roman" w:hAnsi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E92538" w:rsidR="00B11BB5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The Commission will consider a Report and Order that would revise Section 73.624(g) of its rules to reduce broadcaster reporting obligations relating to the provision of ancillary or supplementary services.</w:t>
            </w:r>
          </w:p>
        </w:tc>
      </w:tr>
    </w:tbl>
    <w:p w:rsidR="007146D0" w:rsidP="002B445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</w:p>
    <w:p w:rsidR="007D7669" w:rsidRPr="00164DAE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164DAE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B99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56443281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379149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5650" cy="69151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290020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C"/>
    <w:rsid w:val="00001ACA"/>
    <w:rsid w:val="00004844"/>
    <w:rsid w:val="000075EB"/>
    <w:rsid w:val="00011710"/>
    <w:rsid w:val="00017D41"/>
    <w:rsid w:val="00026C05"/>
    <w:rsid w:val="0003081E"/>
    <w:rsid w:val="0003436D"/>
    <w:rsid w:val="00035BD5"/>
    <w:rsid w:val="00035C3C"/>
    <w:rsid w:val="000363F7"/>
    <w:rsid w:val="00055ECC"/>
    <w:rsid w:val="00070020"/>
    <w:rsid w:val="000760CC"/>
    <w:rsid w:val="00080198"/>
    <w:rsid w:val="00085903"/>
    <w:rsid w:val="00085FC2"/>
    <w:rsid w:val="00087E02"/>
    <w:rsid w:val="0009448F"/>
    <w:rsid w:val="000966F0"/>
    <w:rsid w:val="00096BB4"/>
    <w:rsid w:val="000A5737"/>
    <w:rsid w:val="000A73DE"/>
    <w:rsid w:val="000A7C80"/>
    <w:rsid w:val="000B19B2"/>
    <w:rsid w:val="000B463B"/>
    <w:rsid w:val="000B6302"/>
    <w:rsid w:val="000C3560"/>
    <w:rsid w:val="000C7253"/>
    <w:rsid w:val="000D7999"/>
    <w:rsid w:val="000E3B88"/>
    <w:rsid w:val="000E5394"/>
    <w:rsid w:val="001136F8"/>
    <w:rsid w:val="001154B4"/>
    <w:rsid w:val="00125B73"/>
    <w:rsid w:val="00135CFE"/>
    <w:rsid w:val="00144038"/>
    <w:rsid w:val="0014738F"/>
    <w:rsid w:val="00150577"/>
    <w:rsid w:val="001541CB"/>
    <w:rsid w:val="0015461D"/>
    <w:rsid w:val="00155A15"/>
    <w:rsid w:val="00164DAE"/>
    <w:rsid w:val="001763A8"/>
    <w:rsid w:val="001819E2"/>
    <w:rsid w:val="00181D7C"/>
    <w:rsid w:val="0018264C"/>
    <w:rsid w:val="00193B99"/>
    <w:rsid w:val="00195AD5"/>
    <w:rsid w:val="00196417"/>
    <w:rsid w:val="00197998"/>
    <w:rsid w:val="001A08DF"/>
    <w:rsid w:val="001A1BB9"/>
    <w:rsid w:val="001A279A"/>
    <w:rsid w:val="001A2DD5"/>
    <w:rsid w:val="001B06E4"/>
    <w:rsid w:val="001B38F2"/>
    <w:rsid w:val="001B454F"/>
    <w:rsid w:val="001B68A7"/>
    <w:rsid w:val="001C1436"/>
    <w:rsid w:val="001C7553"/>
    <w:rsid w:val="001D0A3C"/>
    <w:rsid w:val="001D4C73"/>
    <w:rsid w:val="001D6B4B"/>
    <w:rsid w:val="001E13AD"/>
    <w:rsid w:val="001E1976"/>
    <w:rsid w:val="001E5B7B"/>
    <w:rsid w:val="001F60E7"/>
    <w:rsid w:val="002066A9"/>
    <w:rsid w:val="002103ED"/>
    <w:rsid w:val="00213FDD"/>
    <w:rsid w:val="002179D6"/>
    <w:rsid w:val="002312CE"/>
    <w:rsid w:val="00241CA3"/>
    <w:rsid w:val="00244FFE"/>
    <w:rsid w:val="00246228"/>
    <w:rsid w:val="00252F50"/>
    <w:rsid w:val="002533F3"/>
    <w:rsid w:val="00256871"/>
    <w:rsid w:val="00273161"/>
    <w:rsid w:val="00274217"/>
    <w:rsid w:val="0028024A"/>
    <w:rsid w:val="00284B1D"/>
    <w:rsid w:val="00285776"/>
    <w:rsid w:val="00286E96"/>
    <w:rsid w:val="0028733B"/>
    <w:rsid w:val="002B4452"/>
    <w:rsid w:val="002C2689"/>
    <w:rsid w:val="002C4054"/>
    <w:rsid w:val="002C635C"/>
    <w:rsid w:val="002C6581"/>
    <w:rsid w:val="002C6860"/>
    <w:rsid w:val="002D2F2E"/>
    <w:rsid w:val="002D4B52"/>
    <w:rsid w:val="002D76C1"/>
    <w:rsid w:val="002E1918"/>
    <w:rsid w:val="002E2D12"/>
    <w:rsid w:val="002E3DBA"/>
    <w:rsid w:val="002E4D2C"/>
    <w:rsid w:val="002E7347"/>
    <w:rsid w:val="00305B8D"/>
    <w:rsid w:val="0031260F"/>
    <w:rsid w:val="003161A3"/>
    <w:rsid w:val="003224D0"/>
    <w:rsid w:val="00322B14"/>
    <w:rsid w:val="00330FEB"/>
    <w:rsid w:val="00332619"/>
    <w:rsid w:val="00337D0B"/>
    <w:rsid w:val="003451C3"/>
    <w:rsid w:val="0035252B"/>
    <w:rsid w:val="00353F4F"/>
    <w:rsid w:val="00355D5F"/>
    <w:rsid w:val="003647BE"/>
    <w:rsid w:val="0036737A"/>
    <w:rsid w:val="0037126A"/>
    <w:rsid w:val="003728DF"/>
    <w:rsid w:val="00372C85"/>
    <w:rsid w:val="003750EB"/>
    <w:rsid w:val="00377E19"/>
    <w:rsid w:val="00381525"/>
    <w:rsid w:val="003821D5"/>
    <w:rsid w:val="003873DC"/>
    <w:rsid w:val="00390D8D"/>
    <w:rsid w:val="00391816"/>
    <w:rsid w:val="003A7C68"/>
    <w:rsid w:val="003B00EE"/>
    <w:rsid w:val="003B37BF"/>
    <w:rsid w:val="003B4774"/>
    <w:rsid w:val="003E2C0D"/>
    <w:rsid w:val="003E5B9B"/>
    <w:rsid w:val="003F557B"/>
    <w:rsid w:val="00400017"/>
    <w:rsid w:val="00400F7E"/>
    <w:rsid w:val="00417256"/>
    <w:rsid w:val="00432969"/>
    <w:rsid w:val="00435C95"/>
    <w:rsid w:val="00455DF4"/>
    <w:rsid w:val="00460014"/>
    <w:rsid w:val="00463BC6"/>
    <w:rsid w:val="0047165B"/>
    <w:rsid w:val="00473F14"/>
    <w:rsid w:val="00480DFC"/>
    <w:rsid w:val="00482B5A"/>
    <w:rsid w:val="00484249"/>
    <w:rsid w:val="0048670B"/>
    <w:rsid w:val="0049007A"/>
    <w:rsid w:val="004A3A74"/>
    <w:rsid w:val="004B34F4"/>
    <w:rsid w:val="004B7608"/>
    <w:rsid w:val="004C5DE8"/>
    <w:rsid w:val="004C6684"/>
    <w:rsid w:val="004D6E35"/>
    <w:rsid w:val="004E1B18"/>
    <w:rsid w:val="004E3901"/>
    <w:rsid w:val="004E724C"/>
    <w:rsid w:val="004F163F"/>
    <w:rsid w:val="004F32BF"/>
    <w:rsid w:val="004F747D"/>
    <w:rsid w:val="00503760"/>
    <w:rsid w:val="00503DF8"/>
    <w:rsid w:val="00564380"/>
    <w:rsid w:val="0057172B"/>
    <w:rsid w:val="0057270A"/>
    <w:rsid w:val="00580593"/>
    <w:rsid w:val="00592752"/>
    <w:rsid w:val="005966F3"/>
    <w:rsid w:val="005A4DA0"/>
    <w:rsid w:val="005B2E9C"/>
    <w:rsid w:val="005B5053"/>
    <w:rsid w:val="005C0999"/>
    <w:rsid w:val="005C1299"/>
    <w:rsid w:val="005C2C5F"/>
    <w:rsid w:val="005D1FAA"/>
    <w:rsid w:val="005D69D5"/>
    <w:rsid w:val="005E50DD"/>
    <w:rsid w:val="005E65F5"/>
    <w:rsid w:val="005F4403"/>
    <w:rsid w:val="005F4C1C"/>
    <w:rsid w:val="006172FF"/>
    <w:rsid w:val="00620716"/>
    <w:rsid w:val="00620CE4"/>
    <w:rsid w:val="00623D21"/>
    <w:rsid w:val="006250EA"/>
    <w:rsid w:val="0062572F"/>
    <w:rsid w:val="006277D5"/>
    <w:rsid w:val="00627C1D"/>
    <w:rsid w:val="00633B49"/>
    <w:rsid w:val="0063462A"/>
    <w:rsid w:val="006369D3"/>
    <w:rsid w:val="0064036B"/>
    <w:rsid w:val="0064081A"/>
    <w:rsid w:val="006425B9"/>
    <w:rsid w:val="00652A17"/>
    <w:rsid w:val="006544A6"/>
    <w:rsid w:val="00655319"/>
    <w:rsid w:val="00663147"/>
    <w:rsid w:val="00664D7E"/>
    <w:rsid w:val="00667FFA"/>
    <w:rsid w:val="006758F3"/>
    <w:rsid w:val="00675D71"/>
    <w:rsid w:val="00680F10"/>
    <w:rsid w:val="00683989"/>
    <w:rsid w:val="00686636"/>
    <w:rsid w:val="00693821"/>
    <w:rsid w:val="006B2906"/>
    <w:rsid w:val="006B553E"/>
    <w:rsid w:val="006C0BBD"/>
    <w:rsid w:val="006C1F66"/>
    <w:rsid w:val="006D159C"/>
    <w:rsid w:val="006D15EB"/>
    <w:rsid w:val="006E49E9"/>
    <w:rsid w:val="006E54C9"/>
    <w:rsid w:val="006F4123"/>
    <w:rsid w:val="007011C4"/>
    <w:rsid w:val="00701A97"/>
    <w:rsid w:val="007051C8"/>
    <w:rsid w:val="007146D0"/>
    <w:rsid w:val="007216EA"/>
    <w:rsid w:val="00727A74"/>
    <w:rsid w:val="00732AEF"/>
    <w:rsid w:val="0074169E"/>
    <w:rsid w:val="00751F6C"/>
    <w:rsid w:val="00755B0D"/>
    <w:rsid w:val="0076004D"/>
    <w:rsid w:val="00760F7D"/>
    <w:rsid w:val="00762802"/>
    <w:rsid w:val="007632ED"/>
    <w:rsid w:val="007637F9"/>
    <w:rsid w:val="00765FCF"/>
    <w:rsid w:val="00777149"/>
    <w:rsid w:val="0078615A"/>
    <w:rsid w:val="007A1C2E"/>
    <w:rsid w:val="007A1E25"/>
    <w:rsid w:val="007A2BE9"/>
    <w:rsid w:val="007B04B6"/>
    <w:rsid w:val="007B0C59"/>
    <w:rsid w:val="007B1114"/>
    <w:rsid w:val="007B39E2"/>
    <w:rsid w:val="007C1070"/>
    <w:rsid w:val="007C171A"/>
    <w:rsid w:val="007C4214"/>
    <w:rsid w:val="007C6657"/>
    <w:rsid w:val="007C780C"/>
    <w:rsid w:val="007D052B"/>
    <w:rsid w:val="007D4BB1"/>
    <w:rsid w:val="007D6B7A"/>
    <w:rsid w:val="007D7669"/>
    <w:rsid w:val="007E1503"/>
    <w:rsid w:val="007F1F36"/>
    <w:rsid w:val="007F29A7"/>
    <w:rsid w:val="007F510A"/>
    <w:rsid w:val="007F6641"/>
    <w:rsid w:val="007F70A3"/>
    <w:rsid w:val="0081019A"/>
    <w:rsid w:val="00811203"/>
    <w:rsid w:val="00815876"/>
    <w:rsid w:val="00826E2D"/>
    <w:rsid w:val="00827CAF"/>
    <w:rsid w:val="008465E5"/>
    <w:rsid w:val="00847F3C"/>
    <w:rsid w:val="00854ABC"/>
    <w:rsid w:val="00854C1A"/>
    <w:rsid w:val="008566EE"/>
    <w:rsid w:val="008663BD"/>
    <w:rsid w:val="00867B86"/>
    <w:rsid w:val="00872CE9"/>
    <w:rsid w:val="008740FA"/>
    <w:rsid w:val="00885F82"/>
    <w:rsid w:val="00891E47"/>
    <w:rsid w:val="0089273B"/>
    <w:rsid w:val="00892749"/>
    <w:rsid w:val="008A52DF"/>
    <w:rsid w:val="008B2BDE"/>
    <w:rsid w:val="008C0C03"/>
    <w:rsid w:val="008C3480"/>
    <w:rsid w:val="008C793E"/>
    <w:rsid w:val="008D3C87"/>
    <w:rsid w:val="008D41C9"/>
    <w:rsid w:val="008D5A81"/>
    <w:rsid w:val="008D68BD"/>
    <w:rsid w:val="008E32B1"/>
    <w:rsid w:val="008E435A"/>
    <w:rsid w:val="008E4A3A"/>
    <w:rsid w:val="008E68D2"/>
    <w:rsid w:val="008F102E"/>
    <w:rsid w:val="008F1A1A"/>
    <w:rsid w:val="008F5C95"/>
    <w:rsid w:val="009023E7"/>
    <w:rsid w:val="00903434"/>
    <w:rsid w:val="00906B40"/>
    <w:rsid w:val="00911C84"/>
    <w:rsid w:val="0091558F"/>
    <w:rsid w:val="00921937"/>
    <w:rsid w:val="00923707"/>
    <w:rsid w:val="009237F7"/>
    <w:rsid w:val="009249E8"/>
    <w:rsid w:val="00926144"/>
    <w:rsid w:val="00927F12"/>
    <w:rsid w:val="009316C7"/>
    <w:rsid w:val="00936C3D"/>
    <w:rsid w:val="0094256A"/>
    <w:rsid w:val="0094479B"/>
    <w:rsid w:val="00950210"/>
    <w:rsid w:val="00952E00"/>
    <w:rsid w:val="009541DA"/>
    <w:rsid w:val="00957BBD"/>
    <w:rsid w:val="0096775F"/>
    <w:rsid w:val="00970791"/>
    <w:rsid w:val="00977527"/>
    <w:rsid w:val="0098597C"/>
    <w:rsid w:val="00985991"/>
    <w:rsid w:val="009926F0"/>
    <w:rsid w:val="009967B3"/>
    <w:rsid w:val="009B1042"/>
    <w:rsid w:val="009C79B8"/>
    <w:rsid w:val="009D159C"/>
    <w:rsid w:val="009D6625"/>
    <w:rsid w:val="009D66A9"/>
    <w:rsid w:val="009D6FE0"/>
    <w:rsid w:val="009D7393"/>
    <w:rsid w:val="009E08EC"/>
    <w:rsid w:val="009E33C1"/>
    <w:rsid w:val="009E631C"/>
    <w:rsid w:val="009F4F6A"/>
    <w:rsid w:val="009F53F1"/>
    <w:rsid w:val="009F5856"/>
    <w:rsid w:val="00A00D34"/>
    <w:rsid w:val="00A012F2"/>
    <w:rsid w:val="00A03BE3"/>
    <w:rsid w:val="00A05E26"/>
    <w:rsid w:val="00A17F44"/>
    <w:rsid w:val="00A207A8"/>
    <w:rsid w:val="00A26628"/>
    <w:rsid w:val="00A338CA"/>
    <w:rsid w:val="00A359F6"/>
    <w:rsid w:val="00A36B65"/>
    <w:rsid w:val="00A406F9"/>
    <w:rsid w:val="00A40853"/>
    <w:rsid w:val="00A46EFA"/>
    <w:rsid w:val="00A4718E"/>
    <w:rsid w:val="00A71C4F"/>
    <w:rsid w:val="00A80E84"/>
    <w:rsid w:val="00A84C98"/>
    <w:rsid w:val="00A90B7F"/>
    <w:rsid w:val="00A9446E"/>
    <w:rsid w:val="00A9722F"/>
    <w:rsid w:val="00A97A3A"/>
    <w:rsid w:val="00AA7828"/>
    <w:rsid w:val="00AB3B47"/>
    <w:rsid w:val="00AB6035"/>
    <w:rsid w:val="00AB67EB"/>
    <w:rsid w:val="00AB6E2F"/>
    <w:rsid w:val="00AC1230"/>
    <w:rsid w:val="00AC6368"/>
    <w:rsid w:val="00AD273E"/>
    <w:rsid w:val="00AD689C"/>
    <w:rsid w:val="00AE0BFE"/>
    <w:rsid w:val="00AE156C"/>
    <w:rsid w:val="00AE7F72"/>
    <w:rsid w:val="00AF548E"/>
    <w:rsid w:val="00AF6794"/>
    <w:rsid w:val="00AF6886"/>
    <w:rsid w:val="00B01D2C"/>
    <w:rsid w:val="00B04984"/>
    <w:rsid w:val="00B0667A"/>
    <w:rsid w:val="00B11BB5"/>
    <w:rsid w:val="00B136F2"/>
    <w:rsid w:val="00B17D9E"/>
    <w:rsid w:val="00B20F6C"/>
    <w:rsid w:val="00B214EA"/>
    <w:rsid w:val="00B22BD0"/>
    <w:rsid w:val="00B27FE5"/>
    <w:rsid w:val="00B35ED7"/>
    <w:rsid w:val="00B41BC1"/>
    <w:rsid w:val="00B46A8A"/>
    <w:rsid w:val="00B5446E"/>
    <w:rsid w:val="00B76743"/>
    <w:rsid w:val="00B815D5"/>
    <w:rsid w:val="00B841ED"/>
    <w:rsid w:val="00B865A2"/>
    <w:rsid w:val="00BA0744"/>
    <w:rsid w:val="00BA67BE"/>
    <w:rsid w:val="00BB3F86"/>
    <w:rsid w:val="00BB752F"/>
    <w:rsid w:val="00BC25B3"/>
    <w:rsid w:val="00BD192A"/>
    <w:rsid w:val="00BE1FC1"/>
    <w:rsid w:val="00BE5EAE"/>
    <w:rsid w:val="00C03CE1"/>
    <w:rsid w:val="00C07B64"/>
    <w:rsid w:val="00C138C7"/>
    <w:rsid w:val="00C15DC4"/>
    <w:rsid w:val="00C16904"/>
    <w:rsid w:val="00C23BE8"/>
    <w:rsid w:val="00C31C39"/>
    <w:rsid w:val="00C46AAA"/>
    <w:rsid w:val="00C502F7"/>
    <w:rsid w:val="00C56A46"/>
    <w:rsid w:val="00C57EAD"/>
    <w:rsid w:val="00C81444"/>
    <w:rsid w:val="00C81842"/>
    <w:rsid w:val="00C82E4D"/>
    <w:rsid w:val="00C86F68"/>
    <w:rsid w:val="00C94344"/>
    <w:rsid w:val="00CA5879"/>
    <w:rsid w:val="00CA5B89"/>
    <w:rsid w:val="00CB2499"/>
    <w:rsid w:val="00CB5679"/>
    <w:rsid w:val="00CB5FBB"/>
    <w:rsid w:val="00CB6897"/>
    <w:rsid w:val="00CB6C5F"/>
    <w:rsid w:val="00CB7173"/>
    <w:rsid w:val="00CB71C8"/>
    <w:rsid w:val="00CB76A2"/>
    <w:rsid w:val="00CC5AD8"/>
    <w:rsid w:val="00CD2153"/>
    <w:rsid w:val="00CD46DF"/>
    <w:rsid w:val="00CD5A58"/>
    <w:rsid w:val="00CE0120"/>
    <w:rsid w:val="00CE1286"/>
    <w:rsid w:val="00CE5836"/>
    <w:rsid w:val="00CF17A2"/>
    <w:rsid w:val="00CF17BA"/>
    <w:rsid w:val="00D01B36"/>
    <w:rsid w:val="00D06A8E"/>
    <w:rsid w:val="00D1242B"/>
    <w:rsid w:val="00D21AA7"/>
    <w:rsid w:val="00D25E7E"/>
    <w:rsid w:val="00D315A6"/>
    <w:rsid w:val="00D31CF0"/>
    <w:rsid w:val="00D347BA"/>
    <w:rsid w:val="00D35B0F"/>
    <w:rsid w:val="00D46505"/>
    <w:rsid w:val="00D4770C"/>
    <w:rsid w:val="00D50C5F"/>
    <w:rsid w:val="00D52FF2"/>
    <w:rsid w:val="00D604FC"/>
    <w:rsid w:val="00D744E3"/>
    <w:rsid w:val="00D75569"/>
    <w:rsid w:val="00D844F4"/>
    <w:rsid w:val="00D84BF2"/>
    <w:rsid w:val="00D85C06"/>
    <w:rsid w:val="00D9026C"/>
    <w:rsid w:val="00D911D9"/>
    <w:rsid w:val="00D91590"/>
    <w:rsid w:val="00D9679B"/>
    <w:rsid w:val="00DA1DCE"/>
    <w:rsid w:val="00DA55F4"/>
    <w:rsid w:val="00DB2479"/>
    <w:rsid w:val="00DB4D3B"/>
    <w:rsid w:val="00DB5ECA"/>
    <w:rsid w:val="00DC19D7"/>
    <w:rsid w:val="00DC518C"/>
    <w:rsid w:val="00DC53BC"/>
    <w:rsid w:val="00DC6384"/>
    <w:rsid w:val="00DD0AA8"/>
    <w:rsid w:val="00DD1359"/>
    <w:rsid w:val="00DD217B"/>
    <w:rsid w:val="00DD321F"/>
    <w:rsid w:val="00DF0610"/>
    <w:rsid w:val="00DF40E5"/>
    <w:rsid w:val="00DF5326"/>
    <w:rsid w:val="00DF6E3F"/>
    <w:rsid w:val="00E02F7B"/>
    <w:rsid w:val="00E05F41"/>
    <w:rsid w:val="00E11B44"/>
    <w:rsid w:val="00E22527"/>
    <w:rsid w:val="00E26373"/>
    <w:rsid w:val="00E33F15"/>
    <w:rsid w:val="00E40C6E"/>
    <w:rsid w:val="00E46E42"/>
    <w:rsid w:val="00E47DB5"/>
    <w:rsid w:val="00E63353"/>
    <w:rsid w:val="00E64817"/>
    <w:rsid w:val="00E64DF2"/>
    <w:rsid w:val="00E7168C"/>
    <w:rsid w:val="00E72E23"/>
    <w:rsid w:val="00E86085"/>
    <w:rsid w:val="00E92538"/>
    <w:rsid w:val="00E9550F"/>
    <w:rsid w:val="00E96411"/>
    <w:rsid w:val="00E9716B"/>
    <w:rsid w:val="00EA482E"/>
    <w:rsid w:val="00EA50C5"/>
    <w:rsid w:val="00EB57E4"/>
    <w:rsid w:val="00EB656B"/>
    <w:rsid w:val="00EC1298"/>
    <w:rsid w:val="00EC2E8C"/>
    <w:rsid w:val="00EC3EA9"/>
    <w:rsid w:val="00EC5E22"/>
    <w:rsid w:val="00ED2656"/>
    <w:rsid w:val="00ED43BD"/>
    <w:rsid w:val="00ED595F"/>
    <w:rsid w:val="00EE11B4"/>
    <w:rsid w:val="00EE7982"/>
    <w:rsid w:val="00EF55A2"/>
    <w:rsid w:val="00EF5845"/>
    <w:rsid w:val="00EF6BCE"/>
    <w:rsid w:val="00F017F1"/>
    <w:rsid w:val="00F03769"/>
    <w:rsid w:val="00F0406C"/>
    <w:rsid w:val="00F062F1"/>
    <w:rsid w:val="00F11096"/>
    <w:rsid w:val="00F17428"/>
    <w:rsid w:val="00F21B0C"/>
    <w:rsid w:val="00F25796"/>
    <w:rsid w:val="00F2582A"/>
    <w:rsid w:val="00F42A8A"/>
    <w:rsid w:val="00F431B4"/>
    <w:rsid w:val="00F43845"/>
    <w:rsid w:val="00F47F4D"/>
    <w:rsid w:val="00F65D4E"/>
    <w:rsid w:val="00F677F2"/>
    <w:rsid w:val="00F72C76"/>
    <w:rsid w:val="00F75E85"/>
    <w:rsid w:val="00F8361F"/>
    <w:rsid w:val="00F90FC7"/>
    <w:rsid w:val="00FA7D8B"/>
    <w:rsid w:val="00FB091D"/>
    <w:rsid w:val="00FB29E8"/>
    <w:rsid w:val="00FB3017"/>
    <w:rsid w:val="00FB4E9E"/>
    <w:rsid w:val="00FB53FB"/>
    <w:rsid w:val="00FB70B3"/>
    <w:rsid w:val="00FC0B4A"/>
    <w:rsid w:val="00FD066E"/>
    <w:rsid w:val="00FD6660"/>
    <w:rsid w:val="00FE1BEF"/>
    <w:rsid w:val="00FE6039"/>
    <w:rsid w:val="00FE7041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DEA7-0A52-4D2B-9B6F-8EE73B4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2018-04-13T12:43:41Z</dcterms:created>
  <dcterms:modified xsi:type="dcterms:W3CDTF">2018-04-13T12:43:41Z</dcterms:modified>
</cp:coreProperties>
</file>