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94938" w:rsidP="00E9493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E94938" w:rsidP="00E94938">
      <w:pPr>
        <w:pStyle w:val="StyleBoldCentered"/>
      </w:pPr>
      <w:r>
        <w:t>F</w:t>
      </w:r>
      <w:r>
        <w:rPr>
          <w:caps w:val="0"/>
        </w:rPr>
        <w:t>ederal Communications Commission</w:t>
      </w:r>
    </w:p>
    <w:p w:rsidR="00E94938" w:rsidP="00E94938">
      <w:pPr>
        <w:pStyle w:val="StyleBoldCentered"/>
      </w:pPr>
      <w:r>
        <w:rPr>
          <w:caps w:val="0"/>
        </w:rPr>
        <w:t>Washington, D.C. 20554</w:t>
      </w:r>
    </w:p>
    <w:p w:rsidR="00E94938" w:rsidP="00E94938"/>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EA32D0">
        <w:tblPrEx>
          <w:tblW w:w="0" w:type="auto"/>
          <w:tblInd w:w="0" w:type="dxa"/>
          <w:tblLayout w:type="fixed"/>
          <w:tblCellMar>
            <w:top w:w="0" w:type="dxa"/>
            <w:left w:w="108" w:type="dxa"/>
            <w:bottom w:w="0" w:type="dxa"/>
            <w:right w:w="108" w:type="dxa"/>
          </w:tblCellMar>
          <w:tblLook w:val="0000"/>
        </w:tblPrEx>
        <w:tc>
          <w:tcPr>
            <w:tcW w:w="4698" w:type="dxa"/>
          </w:tcPr>
          <w:p w:rsidR="00E94938" w:rsidP="00EA32D0">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In the Matter of</w:t>
            </w:r>
          </w:p>
          <w:p w:rsidR="00E94938" w:rsidP="00EA32D0">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Connect America Fund</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ETC Annual Reports and Certifications</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Establishing Just and Reasonable Rates for Local Exchange Carriers</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Developing a Unified Intercarrier Compensation Regime</w:t>
            </w:r>
          </w:p>
          <w:p w:rsidR="00E94938" w:rsidRPr="007115F7" w:rsidP="00EA32D0">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tc>
        <w:tc>
          <w:tcPr>
            <w:tcW w:w="630" w:type="dxa"/>
          </w:tcPr>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p w:rsidR="00E94938" w:rsidRPr="00EB557B" w:rsidP="00EA32D0">
            <w:pPr>
              <w:widowControl w:val="0"/>
              <w:tabs>
                <w:tab w:val="center" w:pos="4680"/>
              </w:tabs>
              <w:suppressAutoHyphens/>
              <w:spacing w:after="0" w:line="240" w:lineRule="auto"/>
              <w:rPr>
                <w:rStyle w:val="DefaultParagraphFont"/>
                <w:rFonts w:ascii="Times New Roman" w:eastAsia="Times New Roman" w:hAnsi="Times New Roman" w:cs="Times New Roman"/>
                <w:b/>
                <w:snapToGrid w:val="0"/>
                <w:spacing w:val="-2"/>
                <w:kern w:val="28"/>
                <w:sz w:val="22"/>
                <w:szCs w:val="20"/>
                <w:lang w:val="en-US" w:eastAsia="en-US" w:bidi="ar-SA"/>
              </w:rPr>
            </w:pPr>
            <w:r w:rsidRPr="00EB557B">
              <w:rPr>
                <w:rFonts w:ascii="Times New Roman" w:eastAsia="Times New Roman" w:hAnsi="Times New Roman" w:cs="Times New Roman"/>
                <w:b/>
                <w:snapToGrid w:val="0"/>
                <w:spacing w:val="-2"/>
                <w:kern w:val="28"/>
                <w:sz w:val="22"/>
                <w:szCs w:val="20"/>
                <w:lang w:val="en-US" w:eastAsia="en-US" w:bidi="ar-SA"/>
              </w:rPr>
              <w:t>)</w:t>
            </w:r>
          </w:p>
        </w:tc>
        <w:tc>
          <w:tcPr>
            <w:tcW w:w="4248" w:type="dxa"/>
          </w:tcPr>
          <w:p w:rsidR="00E94938" w:rsidP="00EA32D0">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pStyle w:val="TOAHeading"/>
              <w:widowControl w:val="0"/>
              <w:tabs>
                <w:tab w:val="center" w:pos="4680"/>
                <w:tab w:val="clear" w:pos="936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WC Docket No. 10-90</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WC Docket No. 14-58</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WC Docket No. 07-135</w:t>
            </w: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p w:rsidR="00E94938" w:rsidP="00EA32D0">
            <w:pPr>
              <w:widowControl/>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r>
              <w:rPr>
                <w:rFonts w:ascii="Times New Roman" w:eastAsia="Times New Roman" w:hAnsi="Times New Roman" w:cs="Times New Roman"/>
                <w:snapToGrid w:val="0"/>
                <w:spacing w:val="-2"/>
                <w:kern w:val="28"/>
                <w:sz w:val="22"/>
                <w:szCs w:val="20"/>
                <w:lang w:val="en-US" w:eastAsia="en-US" w:bidi="ar-SA"/>
              </w:rPr>
              <w:t>CC Docket No. 01-92</w:t>
            </w:r>
          </w:p>
          <w:p w:rsidR="00E94938" w:rsidP="00EA32D0">
            <w:pPr>
              <w:widowControl w:val="0"/>
              <w:tabs>
                <w:tab w:val="center" w:pos="4680"/>
              </w:tabs>
              <w:suppressAutoHyphens/>
              <w:spacing w:after="0" w:line="240" w:lineRule="auto"/>
              <w:rPr>
                <w:rStyle w:val="DefaultParagraphFont"/>
                <w:rFonts w:ascii="Times New Roman" w:eastAsia="Times New Roman" w:hAnsi="Times New Roman" w:cs="Times New Roman"/>
                <w:snapToGrid w:val="0"/>
                <w:spacing w:val="-2"/>
                <w:kern w:val="28"/>
                <w:sz w:val="22"/>
                <w:szCs w:val="20"/>
                <w:lang w:val="en-US" w:eastAsia="en-US" w:bidi="ar-SA"/>
              </w:rPr>
            </w:pPr>
          </w:p>
        </w:tc>
      </w:tr>
    </w:tbl>
    <w:p w:rsidR="00E94938" w:rsidP="00E94938"/>
    <w:p w:rsidR="00E94938" w:rsidP="00E94938">
      <w:pPr>
        <w:pStyle w:val="StyleBoldCentered"/>
        <w:widowControl/>
        <w:rPr>
          <w:rFonts w:ascii="Times New Roman" w:hAnsi="Times New Roman"/>
        </w:rPr>
      </w:pPr>
      <w:r>
        <w:rPr>
          <w:rFonts w:ascii="Times New Roman" w:hAnsi="Times New Roman"/>
        </w:rPr>
        <w:t>Erratum</w:t>
      </w:r>
    </w:p>
    <w:p w:rsidR="00E94938" w:rsidP="00E94938">
      <w:pPr>
        <w:pStyle w:val="StyleBoldCentered"/>
        <w:widowControl/>
        <w:rPr>
          <w:rFonts w:ascii="Times New Roman" w:hAnsi="Times New Roman"/>
        </w:rPr>
      </w:pPr>
    </w:p>
    <w:p w:rsidR="00E94938" w:rsidP="00E94938">
      <w:pPr>
        <w:pStyle w:val="StyleBoldCentered"/>
        <w:widowControl/>
        <w:jc w:val="right"/>
      </w:pPr>
      <w:r>
        <w:rPr>
          <w:rFonts w:ascii="Times New Roman" w:hAnsi="Times New Roman"/>
          <w:caps w:val="0"/>
        </w:rPr>
        <w:t xml:space="preserve">Released:  April </w:t>
      </w:r>
      <w:r w:rsidR="004B68D7">
        <w:rPr>
          <w:rFonts w:ascii="Times New Roman" w:hAnsi="Times New Roman"/>
          <w:caps w:val="0"/>
        </w:rPr>
        <w:t>26</w:t>
      </w:r>
      <w:r>
        <w:rPr>
          <w:rFonts w:ascii="Times New Roman" w:hAnsi="Times New Roman"/>
        </w:rPr>
        <w:t>, 2018</w:t>
      </w:r>
    </w:p>
    <w:p w:rsidR="00A94885"/>
    <w:p w:rsidR="00E94938">
      <w:pPr>
        <w:rPr>
          <w:spacing w:val="-2"/>
        </w:rPr>
      </w:pPr>
      <w:r>
        <w:t xml:space="preserve">By the </w:t>
      </w:r>
      <w:r>
        <w:rPr>
          <w:spacing w:val="-2"/>
        </w:rPr>
        <w:t>Chief, Wireline Competition Bureau</w:t>
      </w:r>
    </w:p>
    <w:p w:rsidR="00E94938" w:rsidP="004B68D7">
      <w:pPr>
        <w:pStyle w:val="Paratitle"/>
        <w:spacing w:after="0"/>
      </w:pPr>
    </w:p>
    <w:p w:rsidR="00E94938" w:rsidP="004B68D7">
      <w:pPr>
        <w:pStyle w:val="Paratitle"/>
        <w:spacing w:after="0"/>
        <w:ind w:firstLine="720"/>
      </w:pPr>
      <w:r>
        <w:t>On March 23, 2018, the Commission released a Report and Order, Third Order on Reconsideration, and Notice of Proposed Rulemaking (</w:t>
      </w:r>
      <w:r w:rsidRPr="00E94938">
        <w:rPr>
          <w:i/>
        </w:rPr>
        <w:t>2018</w:t>
      </w:r>
      <w:r>
        <w:t xml:space="preserve"> </w:t>
      </w:r>
      <w:r>
        <w:rPr>
          <w:i/>
        </w:rPr>
        <w:t>Rate-of-Return Reform Order and NPRM</w:t>
      </w:r>
      <w:r>
        <w:t xml:space="preserve">), FCC 18-29, in the above captioned proceedings.  This Erratum amends the </w:t>
      </w:r>
      <w:r>
        <w:rPr>
          <w:i/>
        </w:rPr>
        <w:t xml:space="preserve">2018 Rate-of-Return Reform Order and NPRM </w:t>
      </w:r>
      <w:r>
        <w:t>as indicated below:</w:t>
      </w:r>
    </w:p>
    <w:p w:rsidR="004B68D7" w:rsidP="004B68D7">
      <w:pPr>
        <w:pStyle w:val="Paratitle"/>
        <w:spacing w:after="0"/>
      </w:pPr>
    </w:p>
    <w:p w:rsidR="00E94938" w:rsidP="004B68D7">
      <w:pPr>
        <w:pStyle w:val="ListParagraph"/>
        <w:numPr>
          <w:ilvl w:val="0"/>
          <w:numId w:val="1"/>
        </w:numPr>
        <w:ind w:left="0" w:firstLine="360"/>
      </w:pPr>
      <w:r>
        <w:t xml:space="preserve">In paragraph 26, in the third sentence, replace “client or vendor meetings, or attendance a board meetings” with </w:t>
      </w:r>
      <w:r w:rsidR="00F40057">
        <w:t>“</w:t>
      </w:r>
      <w:r>
        <w:t>client or vendor meetings, or attendance at board meetings”.</w:t>
      </w:r>
    </w:p>
    <w:p w:rsidR="00E94938" w:rsidP="004B68D7"/>
    <w:p w:rsidR="00E94938" w:rsidP="004B68D7">
      <w:pPr>
        <w:pStyle w:val="ListParagraph"/>
        <w:numPr>
          <w:ilvl w:val="0"/>
          <w:numId w:val="1"/>
        </w:numPr>
        <w:ind w:left="0" w:firstLine="360"/>
      </w:pPr>
      <w:r>
        <w:t>In paragraph 77, replace “June 2017 to July 2018” with “July 2017 to June 2018”.</w:t>
      </w:r>
    </w:p>
    <w:p w:rsidR="00E94938" w:rsidP="00E94938"/>
    <w:p w:rsidR="00E94938" w:rsidP="004B68D7">
      <w:pPr>
        <w:pStyle w:val="Paratitle"/>
        <w:spacing w:after="0"/>
        <w:ind w:firstLine="720"/>
      </w:pPr>
      <w:r>
        <w:t xml:space="preserve">This Erratum also amends </w:t>
      </w:r>
      <w:r w:rsidRPr="00FB0231">
        <w:rPr>
          <w:b/>
        </w:rPr>
        <w:t xml:space="preserve">APPENDIX </w:t>
      </w:r>
      <w:r w:rsidR="002B0DCF">
        <w:rPr>
          <w:b/>
        </w:rPr>
        <w:t>A</w:t>
      </w:r>
      <w:r>
        <w:t xml:space="preserve"> of the </w:t>
      </w:r>
      <w:r>
        <w:rPr>
          <w:i/>
        </w:rPr>
        <w:t xml:space="preserve">2018 Rate-of-Return Reform Order and NPRM </w:t>
      </w:r>
      <w:r>
        <w:t>as indicated below:</w:t>
      </w:r>
    </w:p>
    <w:p w:rsidR="004B68D7" w:rsidP="004B68D7">
      <w:pPr>
        <w:pStyle w:val="Paratitle"/>
        <w:spacing w:after="0"/>
      </w:pPr>
    </w:p>
    <w:p w:rsidR="0059571F" w:rsidP="004B68D7">
      <w:pPr>
        <w:pStyle w:val="ListParagraph"/>
        <w:numPr>
          <w:ilvl w:val="0"/>
          <w:numId w:val="1"/>
        </w:numPr>
        <w:ind w:left="0" w:firstLine="360"/>
      </w:pPr>
      <w:r>
        <w:t>In paragraph (c)</w:t>
      </w:r>
      <w:r w:rsidR="00D34A03">
        <w:t xml:space="preserve"> of Section 54.7</w:t>
      </w:r>
      <w:r>
        <w:t xml:space="preserve"> delete “Ineligible Expenses” and “of this part”.</w:t>
      </w:r>
    </w:p>
    <w:p w:rsidR="0059571F" w:rsidP="004B68D7"/>
    <w:p w:rsidR="0059571F" w:rsidP="004B68D7">
      <w:pPr>
        <w:pStyle w:val="ListParagraph"/>
        <w:numPr>
          <w:ilvl w:val="0"/>
          <w:numId w:val="1"/>
        </w:numPr>
        <w:ind w:left="0" w:firstLine="360"/>
      </w:pPr>
      <w:r>
        <w:t>In paragraph (6) of Section 54.303</w:t>
      </w:r>
      <w:r w:rsidR="00FF110B">
        <w:t>(a)</w:t>
      </w:r>
      <w:r>
        <w:t xml:space="preserve"> add “of this section” after “implementation of paragraph (a)”. </w:t>
      </w:r>
    </w:p>
    <w:p w:rsidR="00FF110B" w:rsidP="004B68D7"/>
    <w:p w:rsidR="00FF110B" w:rsidP="004B68D7">
      <w:pPr>
        <w:pStyle w:val="ListParagraph"/>
        <w:numPr>
          <w:ilvl w:val="0"/>
          <w:numId w:val="1"/>
        </w:numPr>
        <w:ind w:left="0" w:firstLine="360"/>
      </w:pPr>
      <w:r>
        <w:t>In paragraph (4) of 54.313(f) replace “subparts D, K or M” with “subpart D, K, or M”.</w:t>
      </w:r>
    </w:p>
    <w:p w:rsidR="0059571F" w:rsidP="004B68D7"/>
    <w:p w:rsidR="00D34A03" w:rsidP="004B68D7">
      <w:pPr>
        <w:pStyle w:val="ListParagraph"/>
        <w:numPr>
          <w:ilvl w:val="0"/>
          <w:numId w:val="1"/>
        </w:numPr>
        <w:ind w:left="0" w:firstLine="360"/>
      </w:pPr>
      <w:r>
        <w:t>In paragraph (j) of Section 54.1305 delete “</w:t>
      </w:r>
      <w:r w:rsidR="00842CE1">
        <w:t>of this P</w:t>
      </w:r>
      <w:r>
        <w:t xml:space="preserve">art”.  </w:t>
      </w:r>
    </w:p>
    <w:p w:rsidR="0059571F" w:rsidP="004B68D7"/>
    <w:p w:rsidR="00D34A03" w:rsidP="004B68D7">
      <w:pPr>
        <w:pStyle w:val="ListParagraph"/>
        <w:numPr>
          <w:ilvl w:val="0"/>
          <w:numId w:val="1"/>
        </w:numPr>
        <w:ind w:left="0" w:firstLine="360"/>
      </w:pPr>
      <w:r>
        <w:t xml:space="preserve">In paragraph 7 </w:t>
      </w:r>
      <w:r w:rsidR="00B13EED">
        <w:t xml:space="preserve">of Part 54 </w:t>
      </w:r>
      <w:r>
        <w:t xml:space="preserve">replace </w:t>
      </w:r>
      <w:r w:rsidR="00E42F49">
        <w:t>“</w:t>
      </w:r>
      <w:r w:rsidRPr="00E42F49" w:rsidR="00E42F49">
        <w:t>subparagraph (a)(4)(ii) of § 54.1308 by revising</w:t>
      </w:r>
      <w:r w:rsidR="00E42F49">
        <w:t>” with</w:t>
      </w:r>
      <w:bookmarkStart w:id="1" w:name="_Hlk511729752"/>
      <w:r w:rsidR="00E42F49">
        <w:t xml:space="preserve"> </w:t>
      </w:r>
      <w:r w:rsidR="00842CE1">
        <w:t>“</w:t>
      </w:r>
      <w:r w:rsidRPr="00384B27" w:rsidR="00E42F49">
        <w:t>§ 54.1308</w:t>
      </w:r>
      <w:r w:rsidR="00E42F49">
        <w:t xml:space="preserve"> by revising paragraphs (a)(4)(ii) introductory text and (a)(4)(ii)(A) through (C)</w:t>
      </w:r>
      <w:r w:rsidR="00842CE1">
        <w:t>”</w:t>
      </w:r>
      <w:bookmarkEnd w:id="1"/>
      <w:r w:rsidR="00842CE1">
        <w:t>.</w:t>
      </w:r>
      <w:r>
        <w:t xml:space="preserve"> </w:t>
      </w:r>
    </w:p>
    <w:p w:rsidR="00D34A03" w:rsidP="004B68D7"/>
    <w:p w:rsidR="00D34A03" w:rsidP="004B68D7">
      <w:pPr>
        <w:pStyle w:val="ListParagraph"/>
        <w:numPr>
          <w:ilvl w:val="0"/>
          <w:numId w:val="1"/>
        </w:numPr>
        <w:ind w:left="0" w:firstLine="360"/>
      </w:pPr>
      <w:r>
        <w:t>In paragraph (ii) of Section 54.1308(a)(4) replace “A monthly per-loop amount computed according to paragraphs (a)(4)(ii)(A), (a)(4)(ii)(B), (a)(4)(ii)(C), and (a)(4)(ii)(D) of this section.” with “A monthly per-loop amount computed according to paragraphs (a)(4)(ii)(A)</w:t>
      </w:r>
      <w:r w:rsidR="00B4517E">
        <w:t xml:space="preserve"> through </w:t>
      </w:r>
      <w:r>
        <w:t xml:space="preserve">(D) of this </w:t>
      </w:r>
      <w:r w:rsidR="00FF110B">
        <w:t xml:space="preserve">section.”; </w:t>
      </w:r>
      <w:r w:rsidR="00164D67">
        <w:t xml:space="preserve">replace “For </w:t>
      </w:r>
      <w:r w:rsidR="00650F98">
        <w:t>the</w:t>
      </w:r>
      <w:r w:rsidR="00164D67">
        <w:t xml:space="preserve"> purposes of </w:t>
      </w:r>
      <w:r w:rsidR="00650F98">
        <w:t>this</w:t>
      </w:r>
      <w:r w:rsidR="00164D67">
        <w:t xml:space="preserve"> subparagraph” with “For the purposes of </w:t>
      </w:r>
      <w:r w:rsidR="00650F98">
        <w:t>this</w:t>
      </w:r>
      <w:r w:rsidR="00164D67">
        <w:t xml:space="preserve"> paragraph (a)(4)(ii)”; </w:t>
      </w:r>
      <w:r w:rsidR="00FF110B">
        <w:t>and delete “of this P</w:t>
      </w:r>
      <w:r>
        <w:t xml:space="preserve">art”.  </w:t>
      </w:r>
    </w:p>
    <w:p w:rsidR="00C93740" w:rsidP="004B68D7"/>
    <w:p w:rsidR="00E94938" w:rsidP="004B68D7">
      <w:pPr>
        <w:pStyle w:val="ListParagraph"/>
        <w:numPr>
          <w:ilvl w:val="0"/>
          <w:numId w:val="1"/>
        </w:numPr>
        <w:ind w:left="0" w:firstLine="360"/>
      </w:pPr>
      <w:r>
        <w:t>In paragraph (1) of Section 64.1002(b) replace “Personal benefits, such as gifts, housing allowances, and childcare, that are part of taxable compensation” with “(1) Personal benefits, such as gifts, housing allowances, and childcare, that are not part of taxable compensation”</w:t>
      </w:r>
    </w:p>
    <w:p w:rsidR="002B0DCF" w:rsidP="002B0DCF"/>
    <w:p w:rsidR="002B0DCF" w:rsidP="002B0DCF"/>
    <w:p w:rsidR="002B0DCF" w:rsidP="002B0DCF">
      <w:pPr>
        <w:keepNext/>
        <w:keepLines/>
        <w:widowControl/>
      </w:pPr>
      <w:r>
        <w:tab/>
      </w:r>
      <w:r>
        <w:tab/>
      </w:r>
      <w:r>
        <w:tab/>
      </w:r>
      <w:r>
        <w:tab/>
      </w:r>
      <w:r>
        <w:tab/>
      </w:r>
      <w:r>
        <w:tab/>
        <w:t>FEDERAL COMMUNICATIONS COMMISSION</w:t>
      </w:r>
    </w:p>
    <w:p w:rsidR="002B0DCF" w:rsidP="002B0DCF">
      <w:pPr>
        <w:keepNext/>
        <w:keepLines/>
        <w:widowControl/>
      </w:pPr>
    </w:p>
    <w:p w:rsidR="002B0DCF" w:rsidP="002B0DCF">
      <w:pPr>
        <w:keepNext/>
        <w:keepLines/>
        <w:widowControl/>
      </w:pPr>
    </w:p>
    <w:p w:rsidR="002B0DCF" w:rsidP="002B0DCF">
      <w:pPr>
        <w:keepNext/>
        <w:keepLines/>
        <w:widowControl/>
      </w:pPr>
    </w:p>
    <w:p w:rsidR="002B0DCF" w:rsidP="002B0DCF">
      <w:pPr>
        <w:keepNext/>
        <w:keepLines/>
        <w:widowControl/>
      </w:pPr>
    </w:p>
    <w:p w:rsidR="002B0DCF" w:rsidP="002B0DCF">
      <w:pPr>
        <w:keepNext/>
        <w:keepLines/>
        <w:widowControl/>
      </w:pPr>
      <w:r>
        <w:tab/>
      </w:r>
      <w:r>
        <w:tab/>
      </w:r>
      <w:r>
        <w:tab/>
      </w:r>
      <w:r>
        <w:tab/>
      </w:r>
      <w:r>
        <w:tab/>
      </w:r>
      <w:r>
        <w:tab/>
        <w:t>Kris A. Monteith</w:t>
      </w:r>
    </w:p>
    <w:p w:rsidR="002B0DCF" w:rsidP="002B0DCF">
      <w:pPr>
        <w:keepNext/>
        <w:keepLines/>
        <w:widowControl/>
      </w:pPr>
      <w:r>
        <w:tab/>
      </w:r>
      <w:r>
        <w:tab/>
      </w:r>
      <w:r>
        <w:tab/>
      </w:r>
      <w:r>
        <w:tab/>
      </w:r>
      <w:r>
        <w:tab/>
      </w:r>
      <w:r>
        <w:tab/>
        <w:t>Chief</w:t>
      </w:r>
    </w:p>
    <w:p w:rsidR="002B0DCF" w:rsidP="002B0DCF">
      <w:r>
        <w:tab/>
      </w:r>
      <w:r>
        <w:tab/>
      </w:r>
      <w:r>
        <w:tab/>
      </w:r>
      <w:r>
        <w:tab/>
      </w:r>
      <w:r>
        <w:tab/>
      </w:r>
      <w:r>
        <w:tab/>
        <w:t>Wireline Competition Bureau</w:t>
      </w:r>
    </w:p>
    <w:p w:rsidR="002B0DCF" w:rsidP="002B0DCF"/>
    <w:sectPr w:rsidSect="004B68D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048707"/>
      <w:docPartObj>
        <w:docPartGallery w:val="Page Numbers (Bottom of Page)"/>
        <w:docPartUnique/>
      </w:docPartObj>
    </w:sdtPr>
    <w:sdtEndPr>
      <w:rPr>
        <w:noProof/>
      </w:rPr>
    </w:sdtEndPr>
    <w:sdtContent>
      <w:p w:rsidR="004B68D7" w:rsidP="004B68D7">
        <w:pPr>
          <w:pStyle w:val="Footer"/>
          <w:jc w:val="center"/>
        </w:pPr>
        <w:r>
          <w:fldChar w:fldCharType="begin"/>
        </w:r>
        <w:r>
          <w:instrText xml:space="preserve"> PAGE   \* MERGEFORMAT </w:instrText>
        </w:r>
        <w:r>
          <w:fldChar w:fldCharType="separate"/>
        </w:r>
        <w:r w:rsidR="0028551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8866195"/>
      <w:docPartObj>
        <w:docPartGallery w:val="Page Numbers (Bottom of Page)"/>
        <w:docPartUnique/>
      </w:docPartObj>
    </w:sdtPr>
    <w:sdtEndPr>
      <w:rPr>
        <w:noProof/>
      </w:rPr>
    </w:sdtEndPr>
    <w:sdtContent>
      <w:p w:rsidR="004B68D7" w:rsidP="004B68D7">
        <w:pPr>
          <w:pStyle w:val="Footer"/>
          <w:jc w:val="cente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938" w:rsidRPr="005332D1">
    <w:pPr>
      <w:pStyle w:val="Header"/>
      <w:rPr>
        <w:b/>
      </w:rPr>
    </w:pPr>
    <w:r>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5332D1">
      <w:rPr>
        <w:b/>
      </w:rPr>
      <w:t>Federal Communications Commission</w:t>
    </w:r>
    <w:r w:rsidRPr="005332D1">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68D7" w:rsidRPr="005332D1" w:rsidP="004B68D7">
    <w:pPr>
      <w:pStyle w:val="Header"/>
      <w:rPr>
        <w:b/>
      </w:rPr>
    </w:pPr>
    <w:r>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5332D1">
      <w:rPr>
        <w:b/>
      </w:rPr>
      <w:t>Federal Communications Commission</w:t>
    </w:r>
    <w:r w:rsidRPr="005332D1">
      <w:rPr>
        <w:b/>
      </w:rPr>
      <w:tab/>
    </w:r>
  </w:p>
  <w:p w:rsidR="004B6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4B40F6"/>
    <w:multiLevelType w:val="hybridMultilevel"/>
    <w:tmpl w:val="9F2276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E6C19BC"/>
    <w:multiLevelType w:val="hybridMultilevel"/>
    <w:tmpl w:val="0068E5D6"/>
    <w:lvl w:ilvl="0">
      <w:start w:val="1"/>
      <w:numFmt w:val="decimal"/>
      <w:lvlText w:val="%1."/>
      <w:lvlJc w:val="left"/>
      <w:pPr>
        <w:ind w:left="77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38"/>
    <w:rsid w:val="001442E0"/>
    <w:rsid w:val="00164D67"/>
    <w:rsid w:val="00285517"/>
    <w:rsid w:val="002B0DCF"/>
    <w:rsid w:val="00352237"/>
    <w:rsid w:val="003550C3"/>
    <w:rsid w:val="00364DE3"/>
    <w:rsid w:val="00384B27"/>
    <w:rsid w:val="003F3DD5"/>
    <w:rsid w:val="004B68D7"/>
    <w:rsid w:val="00511655"/>
    <w:rsid w:val="005332D1"/>
    <w:rsid w:val="0059571F"/>
    <w:rsid w:val="00650F98"/>
    <w:rsid w:val="0070224F"/>
    <w:rsid w:val="007115F7"/>
    <w:rsid w:val="007B3D0A"/>
    <w:rsid w:val="00842CE1"/>
    <w:rsid w:val="00861409"/>
    <w:rsid w:val="00A147FB"/>
    <w:rsid w:val="00A94885"/>
    <w:rsid w:val="00B13EED"/>
    <w:rsid w:val="00B4517E"/>
    <w:rsid w:val="00BD46E4"/>
    <w:rsid w:val="00C93740"/>
    <w:rsid w:val="00D34A03"/>
    <w:rsid w:val="00DF29C6"/>
    <w:rsid w:val="00E42F49"/>
    <w:rsid w:val="00E47D38"/>
    <w:rsid w:val="00E5450F"/>
    <w:rsid w:val="00E94938"/>
    <w:rsid w:val="00EA32D0"/>
    <w:rsid w:val="00EB557B"/>
    <w:rsid w:val="00F40057"/>
    <w:rsid w:val="00FB0231"/>
    <w:rsid w:val="00FB6295"/>
    <w:rsid w:val="00FF11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3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E94938"/>
    <w:pPr>
      <w:tabs>
        <w:tab w:val="right" w:pos="9360"/>
      </w:tabs>
      <w:suppressAutoHyphens/>
    </w:pPr>
  </w:style>
  <w:style w:type="paragraph" w:customStyle="1" w:styleId="StyleBoldCentered">
    <w:name w:val="Style Bold Centered"/>
    <w:basedOn w:val="Normal"/>
    <w:rsid w:val="00E94938"/>
    <w:pPr>
      <w:jc w:val="center"/>
    </w:pPr>
    <w:rPr>
      <w:rFonts w:ascii="Times New Roman Bold" w:hAnsi="Times New Roman Bold"/>
      <w:b/>
      <w:bCs/>
      <w:caps/>
      <w:szCs w:val="22"/>
    </w:rPr>
  </w:style>
  <w:style w:type="paragraph" w:styleId="Header">
    <w:name w:val="header"/>
    <w:basedOn w:val="Normal"/>
    <w:link w:val="HeaderChar"/>
    <w:unhideWhenUsed/>
    <w:rsid w:val="00E94938"/>
    <w:pPr>
      <w:tabs>
        <w:tab w:val="center" w:pos="4680"/>
        <w:tab w:val="right" w:pos="9360"/>
      </w:tabs>
    </w:pPr>
  </w:style>
  <w:style w:type="character" w:customStyle="1" w:styleId="HeaderChar">
    <w:name w:val="Header Char"/>
    <w:basedOn w:val="DefaultParagraphFont"/>
    <w:link w:val="Header"/>
    <w:rsid w:val="00E9493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94938"/>
    <w:pPr>
      <w:tabs>
        <w:tab w:val="center" w:pos="4680"/>
        <w:tab w:val="right" w:pos="9360"/>
      </w:tabs>
    </w:pPr>
  </w:style>
  <w:style w:type="character" w:customStyle="1" w:styleId="FooterChar">
    <w:name w:val="Footer Char"/>
    <w:basedOn w:val="DefaultParagraphFont"/>
    <w:link w:val="Footer"/>
    <w:uiPriority w:val="99"/>
    <w:rsid w:val="00E94938"/>
    <w:rPr>
      <w:rFonts w:ascii="Times New Roman" w:eastAsia="Times New Roman" w:hAnsi="Times New Roman" w:cs="Times New Roman"/>
      <w:snapToGrid w:val="0"/>
      <w:kern w:val="28"/>
      <w:szCs w:val="20"/>
    </w:rPr>
  </w:style>
  <w:style w:type="paragraph" w:customStyle="1" w:styleId="Paratitle">
    <w:name w:val="Para title"/>
    <w:basedOn w:val="Normal"/>
    <w:rsid w:val="00E94938"/>
    <w:pPr>
      <w:tabs>
        <w:tab w:val="center" w:pos="9270"/>
      </w:tabs>
      <w:spacing w:after="240"/>
    </w:pPr>
    <w:rPr>
      <w:spacing w:val="-2"/>
    </w:rPr>
  </w:style>
  <w:style w:type="paragraph" w:styleId="ListParagraph">
    <w:name w:val="List Paragraph"/>
    <w:basedOn w:val="Normal"/>
    <w:uiPriority w:val="34"/>
    <w:qFormat/>
    <w:rsid w:val="00E9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2018-04-26T16:06:18Z</dcterms:created>
  <dcterms:modified xsi:type="dcterms:W3CDTF">2018-04-26T16:06:18Z</dcterms:modified>
</cp:coreProperties>
</file>