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65982" w:rsidRPr="001A4989" w:rsidP="00665982" w14:paraId="30F0392F" w14:textId="77777777">
      <w:pPr>
        <w:jc w:val="center"/>
        <w:rPr>
          <w:rFonts w:ascii="Times New Roman" w:hAnsi="Times New Roman"/>
          <w:i/>
          <w:sz w:val="40"/>
        </w:rPr>
      </w:pPr>
      <w:bookmarkStart w:id="0" w:name="_GoBack"/>
      <w:bookmarkEnd w:id="0"/>
      <w:r w:rsidRPr="001A4989">
        <w:rPr>
          <w:rFonts w:ascii="Times New Roman" w:hAnsi="Times New Roman"/>
          <w:i/>
          <w:sz w:val="40"/>
        </w:rPr>
        <w:t>Public Safety and Homeland Security Bureau</w:t>
      </w:r>
    </w:p>
    <w:p w:rsidR="00665982" w:rsidRPr="001A4989" w:rsidP="00665982" w14:paraId="0ACE9C2A" w14:textId="77777777">
      <w:pPr>
        <w:jc w:val="center"/>
        <w:rPr>
          <w:rFonts w:ascii="Times New Roman" w:hAnsi="Times New Roman"/>
          <w:i/>
          <w:sz w:val="40"/>
        </w:rPr>
      </w:pPr>
      <w:r w:rsidRPr="001A4989">
        <w:rPr>
          <w:rFonts w:ascii="Times New Roman" w:hAnsi="Times New Roman"/>
          <w:i/>
          <w:sz w:val="40"/>
        </w:rPr>
        <w:t>Cybersecurity and Communications Reliability Division</w:t>
      </w:r>
    </w:p>
    <w:p w:rsidR="00665982" w:rsidRPr="001A4989" w:rsidP="007654E8" w14:paraId="3349B3CD" w14:textId="77777777">
      <w:pPr>
        <w:jc w:val="center"/>
        <w:rPr>
          <w:rFonts w:ascii="Times New Roman" w:hAnsi="Times New Roman"/>
          <w:sz w:val="72"/>
        </w:rPr>
      </w:pPr>
      <w:r>
        <w:rPr>
          <w:rFonts w:ascii="Times New Roman" w:hAnsi="Times New Roman"/>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72.9pt;height:172.9pt;margin-top:28.8pt;margin-left:147.45pt;mso-wrap-edited:f;position:absolute;visibility:visible;z-index:251658240" o:oleicon="f" o:allowincell="f" filled="t" fillcolor="#3cc">
            <v:imagedata r:id="rId6" o:title="" gain="69719f"/>
            <w10:wrap type="topAndBottom"/>
          </v:shape>
          <o:OLEObject Type="Embed" ProgID="Word.Picture.8" ShapeID="_x0000_s1025" DrawAspect="Content" ObjectID="_1587284637" r:id="rId7"/>
        </w:pict>
      </w:r>
    </w:p>
    <w:p w:rsidR="007654E8" w:rsidRPr="001A4989" w:rsidP="007654E8" w14:paraId="2D839052" w14:textId="77777777">
      <w:pPr>
        <w:jc w:val="center"/>
        <w:rPr>
          <w:rFonts w:ascii="Times New Roman" w:hAnsi="Times New Roman"/>
          <w:sz w:val="72"/>
        </w:rPr>
      </w:pPr>
      <w:r w:rsidRPr="001A4989">
        <w:rPr>
          <w:rFonts w:ascii="Times New Roman" w:hAnsi="Times New Roman"/>
          <w:sz w:val="72"/>
        </w:rPr>
        <w:t>Summary of 911 Certification Data</w:t>
      </w:r>
      <w:r w:rsidRPr="001A4989" w:rsidR="00665982">
        <w:rPr>
          <w:rFonts w:ascii="Times New Roman" w:hAnsi="Times New Roman"/>
          <w:sz w:val="72"/>
        </w:rPr>
        <w:t xml:space="preserve"> for 2017</w:t>
      </w:r>
    </w:p>
    <w:p w:rsidR="008A6951" w:rsidRPr="001A4989" w:rsidP="007654E8" w14:paraId="2B447341" w14:textId="77777777">
      <w:pPr>
        <w:jc w:val="center"/>
        <w:rPr>
          <w:rFonts w:ascii="Times New Roman" w:hAnsi="Times New Roman"/>
          <w:sz w:val="72"/>
        </w:rPr>
      </w:pPr>
    </w:p>
    <w:p w:rsidR="00C93473" w:rsidRPr="001A4989" w:rsidP="007654E8" w14:paraId="7C0659CE" w14:textId="77777777">
      <w:pPr>
        <w:jc w:val="center"/>
        <w:rPr>
          <w:rFonts w:ascii="Times New Roman" w:hAnsi="Times New Roman"/>
          <w:sz w:val="48"/>
        </w:rPr>
        <w:sectPr w:rsidSect="00C93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sdt>
      <w:sdtPr>
        <w:rPr>
          <w:rFonts w:ascii="Times New Roman" w:hAnsi="Times New Roman" w:eastAsiaTheme="minorHAnsi" w:cstheme="minorBidi"/>
          <w:color w:val="auto"/>
          <w:sz w:val="22"/>
          <w:szCs w:val="22"/>
        </w:rPr>
        <w:id w:val="296262009"/>
        <w:docPartObj>
          <w:docPartGallery w:val="Table of Contents"/>
          <w:docPartUnique/>
        </w:docPartObj>
      </w:sdtPr>
      <w:sdtEndPr>
        <w:rPr>
          <w:b/>
        </w:rPr>
      </w:sdtEndPr>
      <w:sdtContent>
        <w:p w:rsidR="00005C51" w:rsidP="008C5206" w14:paraId="720EB4BA" w14:textId="40EB37C4">
          <w:pPr>
            <w:pStyle w:val="TOCHeading"/>
            <w:jc w:val="center"/>
            <w:rPr>
              <w:rFonts w:ascii="Times New Roman" w:hAnsi="Times New Roman"/>
            </w:rPr>
          </w:pPr>
          <w:r w:rsidRPr="001A4989">
            <w:rPr>
              <w:rFonts w:ascii="Times New Roman" w:hAnsi="Times New Roman"/>
            </w:rPr>
            <w:t>Table of Contents</w:t>
          </w:r>
        </w:p>
        <w:p w:rsidR="008C5206" w:rsidRPr="008C5206" w:rsidP="008C5206" w14:paraId="1AC7335F" w14:textId="77777777"/>
        <w:p w:rsidR="009957C6" w14:paraId="3938474C" w14:textId="6A89262B">
          <w:pPr>
            <w:pStyle w:val="TOC1"/>
            <w:tabs>
              <w:tab w:val="right" w:leader="dot" w:pos="9350"/>
            </w:tabs>
            <w:rPr>
              <w:rFonts w:eastAsiaTheme="minorEastAsia"/>
              <w:noProof/>
            </w:rPr>
          </w:pPr>
          <w:r w:rsidRPr="001A4989">
            <w:rPr>
              <w:rFonts w:ascii="Times New Roman" w:hAnsi="Times New Roman"/>
            </w:rPr>
            <w:fldChar w:fldCharType="begin"/>
          </w:r>
          <w:r w:rsidRPr="006D51AD">
            <w:rPr>
              <w:rFonts w:ascii="Times New Roman" w:hAnsi="Times New Roman" w:cs="Times New Roman"/>
            </w:rPr>
            <w:instrText xml:space="preserve"> TOC \o "1-3" \h \z \u </w:instrText>
          </w:r>
          <w:r w:rsidRPr="001A4989">
            <w:rPr>
              <w:rFonts w:ascii="Times New Roman" w:hAnsi="Times New Roman"/>
            </w:rPr>
            <w:fldChar w:fldCharType="separate"/>
          </w:r>
          <w:r>
            <w:fldChar w:fldCharType="begin"/>
          </w:r>
          <w:r>
            <w:instrText xml:space="preserve"> HYPERLINK \l "_Toc513123977" </w:instrText>
          </w:r>
          <w:r>
            <w:fldChar w:fldCharType="separate"/>
          </w:r>
          <w:r w:rsidRPr="006E705C">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_Toc513123977 \h </w:instrText>
          </w:r>
          <w:r>
            <w:rPr>
              <w:noProof/>
              <w:webHidden/>
            </w:rPr>
            <w:fldChar w:fldCharType="separate"/>
          </w:r>
          <w:r w:rsidR="00FC3DF8">
            <w:rPr>
              <w:noProof/>
              <w:webHidden/>
            </w:rPr>
            <w:t>1</w:t>
          </w:r>
          <w:r>
            <w:rPr>
              <w:noProof/>
              <w:webHidden/>
            </w:rPr>
            <w:fldChar w:fldCharType="end"/>
          </w:r>
          <w:r>
            <w:fldChar w:fldCharType="end"/>
          </w:r>
        </w:p>
        <w:p w:rsidR="009957C6" w14:paraId="3F13EEAC" w14:textId="0312A614">
          <w:pPr>
            <w:pStyle w:val="TOC2"/>
            <w:tabs>
              <w:tab w:val="left" w:pos="660"/>
              <w:tab w:val="right" w:leader="dot" w:pos="9350"/>
            </w:tabs>
            <w:rPr>
              <w:rFonts w:eastAsiaTheme="minorEastAsia"/>
              <w:noProof/>
            </w:rPr>
          </w:pPr>
          <w:r>
            <w:fldChar w:fldCharType="begin"/>
          </w:r>
          <w:r>
            <w:instrText xml:space="preserve"> HYPERLINK \l "_Toc513123978" </w:instrText>
          </w:r>
          <w:r>
            <w:fldChar w:fldCharType="separate"/>
          </w:r>
          <w:r w:rsidRPr="006E705C">
            <w:rPr>
              <w:rStyle w:val="Hyperlink"/>
              <w:rFonts w:ascii="Times New Roman" w:hAnsi="Times New Roman"/>
              <w:noProof/>
            </w:rPr>
            <w:t>I.</w:t>
          </w:r>
          <w:r>
            <w:rPr>
              <w:rFonts w:eastAsiaTheme="minorEastAsia"/>
              <w:noProof/>
            </w:rPr>
            <w:tab/>
          </w:r>
          <w:r w:rsidRPr="006E705C">
            <w:rPr>
              <w:rStyle w:val="Hyperlink"/>
              <w:rFonts w:ascii="Times New Roman" w:hAnsi="Times New Roman"/>
              <w:noProof/>
            </w:rPr>
            <w:t>911 Circuit Diversity</w:t>
          </w:r>
          <w:r>
            <w:rPr>
              <w:noProof/>
              <w:webHidden/>
            </w:rPr>
            <w:tab/>
          </w:r>
          <w:r>
            <w:rPr>
              <w:noProof/>
              <w:webHidden/>
            </w:rPr>
            <w:fldChar w:fldCharType="begin"/>
          </w:r>
          <w:r>
            <w:rPr>
              <w:noProof/>
              <w:webHidden/>
            </w:rPr>
            <w:instrText xml:space="preserve"> PAGEREF _Toc513123978 \h </w:instrText>
          </w:r>
          <w:r>
            <w:rPr>
              <w:noProof/>
              <w:webHidden/>
            </w:rPr>
            <w:fldChar w:fldCharType="separate"/>
          </w:r>
          <w:r w:rsidR="00FC3DF8">
            <w:rPr>
              <w:noProof/>
              <w:webHidden/>
            </w:rPr>
            <w:t>2</w:t>
          </w:r>
          <w:r>
            <w:rPr>
              <w:noProof/>
              <w:webHidden/>
            </w:rPr>
            <w:fldChar w:fldCharType="end"/>
          </w:r>
          <w:r>
            <w:fldChar w:fldCharType="end"/>
          </w:r>
        </w:p>
        <w:p w:rsidR="009957C6" w14:paraId="7AB821EF" w14:textId="450A6DA8">
          <w:pPr>
            <w:pStyle w:val="TOC2"/>
            <w:tabs>
              <w:tab w:val="left" w:pos="660"/>
              <w:tab w:val="right" w:leader="dot" w:pos="9350"/>
            </w:tabs>
            <w:rPr>
              <w:rFonts w:eastAsiaTheme="minorEastAsia"/>
              <w:noProof/>
            </w:rPr>
          </w:pPr>
          <w:r>
            <w:fldChar w:fldCharType="begin"/>
          </w:r>
          <w:r>
            <w:instrText xml:space="preserve"> HYPERLINK \l "_Toc513123979" </w:instrText>
          </w:r>
          <w:r>
            <w:fldChar w:fldCharType="separate"/>
          </w:r>
          <w:r w:rsidRPr="006E705C">
            <w:rPr>
              <w:rStyle w:val="Hyperlink"/>
              <w:rFonts w:ascii="Times New Roman" w:hAnsi="Times New Roman"/>
              <w:noProof/>
            </w:rPr>
            <w:t>II.</w:t>
          </w:r>
          <w:r>
            <w:rPr>
              <w:rFonts w:eastAsiaTheme="minorEastAsia"/>
              <w:noProof/>
            </w:rPr>
            <w:tab/>
          </w:r>
          <w:r w:rsidRPr="006E705C">
            <w:rPr>
              <w:rStyle w:val="Hyperlink"/>
              <w:rFonts w:ascii="Times New Roman" w:hAnsi="Times New Roman"/>
              <w:noProof/>
            </w:rPr>
            <w:t>Backup Power</w:t>
          </w:r>
          <w:r>
            <w:rPr>
              <w:noProof/>
              <w:webHidden/>
            </w:rPr>
            <w:tab/>
          </w:r>
          <w:r>
            <w:rPr>
              <w:noProof/>
              <w:webHidden/>
            </w:rPr>
            <w:fldChar w:fldCharType="begin"/>
          </w:r>
          <w:r>
            <w:rPr>
              <w:noProof/>
              <w:webHidden/>
            </w:rPr>
            <w:instrText xml:space="preserve"> PAGEREF _Toc513123979 \h </w:instrText>
          </w:r>
          <w:r>
            <w:rPr>
              <w:noProof/>
              <w:webHidden/>
            </w:rPr>
            <w:fldChar w:fldCharType="separate"/>
          </w:r>
          <w:r w:rsidR="00FC3DF8">
            <w:rPr>
              <w:noProof/>
              <w:webHidden/>
            </w:rPr>
            <w:t>5</w:t>
          </w:r>
          <w:r>
            <w:rPr>
              <w:noProof/>
              <w:webHidden/>
            </w:rPr>
            <w:fldChar w:fldCharType="end"/>
          </w:r>
          <w:r>
            <w:fldChar w:fldCharType="end"/>
          </w:r>
        </w:p>
        <w:p w:rsidR="009957C6" w14:paraId="04FACBC8" w14:textId="505549F5">
          <w:pPr>
            <w:pStyle w:val="TOC2"/>
            <w:tabs>
              <w:tab w:val="left" w:pos="880"/>
              <w:tab w:val="right" w:leader="dot" w:pos="9350"/>
            </w:tabs>
            <w:rPr>
              <w:rFonts w:eastAsiaTheme="minorEastAsia"/>
              <w:noProof/>
            </w:rPr>
          </w:pPr>
          <w:r>
            <w:fldChar w:fldCharType="begin"/>
          </w:r>
          <w:r>
            <w:instrText xml:space="preserve"> HYPERLINK \l "_Toc513123980" </w:instrText>
          </w:r>
          <w:r>
            <w:fldChar w:fldCharType="separate"/>
          </w:r>
          <w:r w:rsidRPr="006E705C">
            <w:rPr>
              <w:rStyle w:val="Hyperlink"/>
              <w:rFonts w:ascii="Times New Roman" w:hAnsi="Times New Roman"/>
              <w:noProof/>
            </w:rPr>
            <w:t>III.</w:t>
          </w:r>
          <w:r w:rsidR="001E5429">
            <w:rPr>
              <w:rFonts w:eastAsiaTheme="minorEastAsia"/>
              <w:noProof/>
            </w:rPr>
            <w:t xml:space="preserve">   </w:t>
          </w:r>
          <w:r w:rsidRPr="006E705C">
            <w:rPr>
              <w:rStyle w:val="Hyperlink"/>
              <w:rFonts w:ascii="Times New Roman" w:hAnsi="Times New Roman"/>
              <w:noProof/>
            </w:rPr>
            <w:t>Network Monitoring</w:t>
          </w:r>
          <w:r>
            <w:rPr>
              <w:noProof/>
              <w:webHidden/>
            </w:rPr>
            <w:tab/>
          </w:r>
          <w:r>
            <w:rPr>
              <w:noProof/>
              <w:webHidden/>
            </w:rPr>
            <w:fldChar w:fldCharType="begin"/>
          </w:r>
          <w:r>
            <w:rPr>
              <w:noProof/>
              <w:webHidden/>
            </w:rPr>
            <w:instrText xml:space="preserve"> PAGEREF _Toc513123980 \h </w:instrText>
          </w:r>
          <w:r>
            <w:rPr>
              <w:noProof/>
              <w:webHidden/>
            </w:rPr>
            <w:fldChar w:fldCharType="separate"/>
          </w:r>
          <w:r w:rsidR="00FC3DF8">
            <w:rPr>
              <w:noProof/>
              <w:webHidden/>
            </w:rPr>
            <w:t>7</w:t>
          </w:r>
          <w:r>
            <w:rPr>
              <w:noProof/>
              <w:webHidden/>
            </w:rPr>
            <w:fldChar w:fldCharType="end"/>
          </w:r>
          <w:r>
            <w:fldChar w:fldCharType="end"/>
          </w:r>
        </w:p>
        <w:p w:rsidR="009957C6" w14:paraId="2468782C" w14:textId="3CB002D3">
          <w:pPr>
            <w:pStyle w:val="TOC1"/>
            <w:tabs>
              <w:tab w:val="right" w:leader="dot" w:pos="9350"/>
            </w:tabs>
            <w:rPr>
              <w:rFonts w:eastAsiaTheme="minorEastAsia"/>
              <w:noProof/>
            </w:rPr>
          </w:pPr>
          <w:r>
            <w:fldChar w:fldCharType="begin"/>
          </w:r>
          <w:r>
            <w:instrText xml:space="preserve"> HYPERLINK \l "_Toc513123981" </w:instrText>
          </w:r>
          <w:r>
            <w:fldChar w:fldCharType="separate"/>
          </w:r>
          <w:r w:rsidRPr="006E705C">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_Toc513123981 \h </w:instrText>
          </w:r>
          <w:r>
            <w:rPr>
              <w:noProof/>
              <w:webHidden/>
            </w:rPr>
            <w:fldChar w:fldCharType="separate"/>
          </w:r>
          <w:r w:rsidR="00FC3DF8">
            <w:rPr>
              <w:noProof/>
              <w:webHidden/>
            </w:rPr>
            <w:t>8</w:t>
          </w:r>
          <w:r>
            <w:rPr>
              <w:noProof/>
              <w:webHidden/>
            </w:rPr>
            <w:fldChar w:fldCharType="end"/>
          </w:r>
          <w:r>
            <w:fldChar w:fldCharType="end"/>
          </w:r>
        </w:p>
        <w:p w:rsidR="00005C51" w:rsidRPr="001A4989" w14:paraId="79D5B971" w14:textId="77777777">
          <w:pPr>
            <w:rPr>
              <w:rFonts w:ascii="Times New Roman" w:hAnsi="Times New Roman"/>
            </w:rPr>
          </w:pPr>
          <w:r w:rsidRPr="001A4989">
            <w:rPr>
              <w:rFonts w:ascii="Times New Roman" w:hAnsi="Times New Roman"/>
              <w:b/>
            </w:rPr>
            <w:fldChar w:fldCharType="end"/>
          </w:r>
        </w:p>
      </w:sdtContent>
    </w:sdt>
    <w:p w:rsidR="008607BD" w:rsidRPr="001A4989" w:rsidP="008607BD" w14:paraId="173814D2" w14:textId="3D4773DC">
      <w:pPr>
        <w:pStyle w:val="TOCHeading"/>
        <w:rPr>
          <w:rFonts w:ascii="Times New Roman" w:hAnsi="Times New Roman"/>
        </w:rPr>
      </w:pPr>
      <w:r>
        <w:rPr>
          <w:rFonts w:ascii="Times New Roman" w:hAnsi="Times New Roman"/>
        </w:rPr>
        <w:t>Figure</w:t>
      </w:r>
    </w:p>
    <w:p w:rsidR="009957C6" w14:paraId="5D837E00" w14:textId="77777777">
      <w:pPr>
        <w:pStyle w:val="TableofFigures"/>
        <w:tabs>
          <w:tab w:val="right" w:leader="dot" w:pos="9350"/>
        </w:tabs>
        <w:rPr>
          <w:rFonts w:eastAsiaTheme="minorEastAsia"/>
          <w:noProof/>
        </w:rPr>
      </w:pPr>
      <w:r w:rsidRPr="001A4989">
        <w:rPr>
          <w:rFonts w:ascii="Times New Roman" w:hAnsi="Times New Roman"/>
          <w:sz w:val="48"/>
        </w:rPr>
        <w:fldChar w:fldCharType="begin"/>
      </w:r>
      <w:r w:rsidRPr="006D51AD">
        <w:rPr>
          <w:rFonts w:ascii="Times New Roman" w:hAnsi="Times New Roman" w:cs="Times New Roman"/>
          <w:sz w:val="48"/>
          <w:szCs w:val="48"/>
        </w:rPr>
        <w:instrText xml:space="preserve"> TOC \h \z \c "Figure" </w:instrText>
      </w:r>
      <w:r w:rsidRPr="001A4989">
        <w:rPr>
          <w:rFonts w:ascii="Times New Roman" w:hAnsi="Times New Roman"/>
          <w:sz w:val="48"/>
        </w:rPr>
        <w:fldChar w:fldCharType="separate"/>
      </w:r>
      <w:r>
        <w:fldChar w:fldCharType="begin"/>
      </w:r>
      <w:r>
        <w:instrText xml:space="preserve"> HYPERLINK \l "_Toc513124052" </w:instrText>
      </w:r>
      <w:r>
        <w:fldChar w:fldCharType="separate"/>
      </w:r>
      <w:r w:rsidRPr="00CB56E0">
        <w:rPr>
          <w:rStyle w:val="Hyperlink"/>
          <w:rFonts w:ascii="Times New Roman" w:hAnsi="Times New Roman"/>
          <w:noProof/>
        </w:rPr>
        <w:t>Figure 1: Overall Responses to 911 Certifications</w:t>
      </w:r>
      <w:r>
        <w:rPr>
          <w:noProof/>
          <w:webHidden/>
        </w:rPr>
        <w:tab/>
      </w:r>
      <w:r>
        <w:rPr>
          <w:noProof/>
          <w:webHidden/>
        </w:rPr>
        <w:fldChar w:fldCharType="begin"/>
      </w:r>
      <w:r>
        <w:rPr>
          <w:noProof/>
          <w:webHidden/>
        </w:rPr>
        <w:instrText xml:space="preserve"> PAGEREF _Toc513124052 \h </w:instrText>
      </w:r>
      <w:r>
        <w:rPr>
          <w:noProof/>
          <w:webHidden/>
        </w:rPr>
        <w:fldChar w:fldCharType="separate"/>
      </w:r>
      <w:r>
        <w:rPr>
          <w:noProof/>
          <w:webHidden/>
        </w:rPr>
        <w:t>2</w:t>
      </w:r>
      <w:r>
        <w:rPr>
          <w:noProof/>
          <w:webHidden/>
        </w:rPr>
        <w:fldChar w:fldCharType="end"/>
      </w:r>
      <w:r>
        <w:fldChar w:fldCharType="end"/>
      </w:r>
    </w:p>
    <w:p w:rsidR="008607BD" w:rsidRPr="001A4989" w:rsidP="008607BD" w14:paraId="007A41D4" w14:textId="77777777">
      <w:pPr>
        <w:pStyle w:val="TOCHeading"/>
        <w:rPr>
          <w:rFonts w:ascii="Times New Roman" w:hAnsi="Times New Roman"/>
        </w:rPr>
      </w:pPr>
      <w:r w:rsidRPr="001A4989">
        <w:rPr>
          <w:rFonts w:ascii="Times New Roman" w:hAnsi="Times New Roman"/>
          <w:sz w:val="48"/>
        </w:rPr>
        <w:fldChar w:fldCharType="end"/>
      </w:r>
      <w:r w:rsidRPr="001A4989">
        <w:rPr>
          <w:rFonts w:ascii="Times New Roman" w:hAnsi="Times New Roman"/>
        </w:rPr>
        <w:t xml:space="preserve">Tables </w:t>
      </w:r>
    </w:p>
    <w:p w:rsidR="009957C6" w14:paraId="6D3C05AE" w14:textId="77777777">
      <w:pPr>
        <w:pStyle w:val="TableofFigures"/>
        <w:tabs>
          <w:tab w:val="right" w:leader="dot" w:pos="9350"/>
        </w:tabs>
        <w:rPr>
          <w:rFonts w:eastAsiaTheme="minorEastAsia"/>
          <w:noProof/>
        </w:rPr>
      </w:pPr>
      <w:r w:rsidRPr="001A4989">
        <w:rPr>
          <w:rFonts w:ascii="Times New Roman" w:hAnsi="Times New Roman"/>
          <w:sz w:val="48"/>
        </w:rPr>
        <w:fldChar w:fldCharType="begin"/>
      </w:r>
      <w:r w:rsidRPr="006D51AD">
        <w:rPr>
          <w:rFonts w:ascii="Times New Roman" w:hAnsi="Times New Roman" w:cs="Times New Roman"/>
          <w:sz w:val="48"/>
          <w:szCs w:val="48"/>
        </w:rPr>
        <w:instrText xml:space="preserve"> TOC \h \z \c "Table" </w:instrText>
      </w:r>
      <w:r w:rsidRPr="001A4989">
        <w:rPr>
          <w:rFonts w:ascii="Times New Roman" w:hAnsi="Times New Roman"/>
          <w:sz w:val="48"/>
        </w:rPr>
        <w:fldChar w:fldCharType="separate"/>
      </w:r>
      <w:r>
        <w:fldChar w:fldCharType="begin"/>
      </w:r>
      <w:r>
        <w:instrText xml:space="preserve"> HYPERLINK \l "_Toc513124068" </w:instrText>
      </w:r>
      <w:r>
        <w:fldChar w:fldCharType="separate"/>
      </w:r>
      <w:r w:rsidRPr="00544963">
        <w:rPr>
          <w:rStyle w:val="Hyperlink"/>
          <w:rFonts w:ascii="Times New Roman" w:hAnsi="Times New Roman"/>
          <w:noProof/>
        </w:rPr>
        <w:t>Table 1: Overall Certification - Circuit Audit Results</w:t>
      </w:r>
      <w:r>
        <w:rPr>
          <w:noProof/>
          <w:webHidden/>
        </w:rPr>
        <w:tab/>
      </w:r>
      <w:r>
        <w:rPr>
          <w:noProof/>
          <w:webHidden/>
        </w:rPr>
        <w:fldChar w:fldCharType="begin"/>
      </w:r>
      <w:r>
        <w:rPr>
          <w:noProof/>
          <w:webHidden/>
        </w:rPr>
        <w:instrText xml:space="preserve"> PAGEREF _Toc513124068 \h </w:instrText>
      </w:r>
      <w:r>
        <w:rPr>
          <w:noProof/>
          <w:webHidden/>
        </w:rPr>
        <w:fldChar w:fldCharType="separate"/>
      </w:r>
      <w:r>
        <w:rPr>
          <w:noProof/>
          <w:webHidden/>
        </w:rPr>
        <w:t>3</w:t>
      </w:r>
      <w:r>
        <w:rPr>
          <w:noProof/>
          <w:webHidden/>
        </w:rPr>
        <w:fldChar w:fldCharType="end"/>
      </w:r>
      <w:r>
        <w:fldChar w:fldCharType="end"/>
      </w:r>
    </w:p>
    <w:p w:rsidR="009957C6" w14:paraId="51D5883B" w14:textId="23A34B28">
      <w:pPr>
        <w:pStyle w:val="TableofFigures"/>
        <w:tabs>
          <w:tab w:val="right" w:leader="dot" w:pos="9350"/>
        </w:tabs>
        <w:rPr>
          <w:rFonts w:eastAsiaTheme="minorEastAsia"/>
          <w:noProof/>
        </w:rPr>
      </w:pPr>
      <w:r>
        <w:fldChar w:fldCharType="begin"/>
      </w:r>
      <w:r>
        <w:instrText xml:space="preserve"> HYPERLINK \l "_Toc513124071" </w:instrText>
      </w:r>
      <w:r>
        <w:fldChar w:fldCharType="separate"/>
      </w:r>
      <w:r w:rsidR="00A07138">
        <w:rPr>
          <w:rStyle w:val="Hyperlink"/>
          <w:rFonts w:ascii="Times New Roman" w:hAnsi="Times New Roman"/>
          <w:noProof/>
        </w:rPr>
        <w:t>Table 2:</w:t>
      </w:r>
      <w:r w:rsidRPr="00544963">
        <w:rPr>
          <w:rStyle w:val="Hyperlink"/>
          <w:rFonts w:ascii="Times New Roman" w:hAnsi="Times New Roman"/>
          <w:noProof/>
        </w:rPr>
        <w:t xml:space="preserve"> Number of PSAPs with Various Alternative Measures</w:t>
      </w:r>
      <w:r>
        <w:rPr>
          <w:noProof/>
          <w:webHidden/>
        </w:rPr>
        <w:tab/>
      </w:r>
      <w:r w:rsidR="00FC3DF8">
        <w:rPr>
          <w:noProof/>
          <w:webHidden/>
        </w:rPr>
        <w:t>3</w:t>
      </w:r>
      <w:r>
        <w:fldChar w:fldCharType="end"/>
      </w:r>
    </w:p>
    <w:p w:rsidR="009957C6" w14:paraId="07D826C3" w14:textId="39BE22CA">
      <w:pPr>
        <w:pStyle w:val="TableofFigures"/>
        <w:tabs>
          <w:tab w:val="right" w:leader="dot" w:pos="9350"/>
        </w:tabs>
        <w:rPr>
          <w:rFonts w:eastAsiaTheme="minorEastAsia"/>
          <w:noProof/>
        </w:rPr>
      </w:pPr>
      <w:r>
        <w:fldChar w:fldCharType="begin"/>
      </w:r>
      <w:r>
        <w:instrText xml:space="preserve"> HYPERLINK \l "_Toc513124072" </w:instrText>
      </w:r>
      <w:r>
        <w:fldChar w:fldCharType="separate"/>
      </w:r>
      <w:r w:rsidR="00A07138">
        <w:rPr>
          <w:rStyle w:val="Hyperlink"/>
          <w:rFonts w:ascii="Times New Roman" w:hAnsi="Times New Roman"/>
          <w:noProof/>
        </w:rPr>
        <w:t>Table 3</w:t>
      </w:r>
      <w:r w:rsidRPr="00544963">
        <w:rPr>
          <w:rStyle w:val="Hyperlink"/>
          <w:rFonts w:ascii="Times New Roman" w:hAnsi="Times New Roman"/>
          <w:noProof/>
        </w:rPr>
        <w:t>: Number of PSAPS with Other Various Alternative Measures</w:t>
      </w:r>
      <w:r>
        <w:rPr>
          <w:noProof/>
          <w:webHidden/>
        </w:rPr>
        <w:tab/>
      </w:r>
      <w:r w:rsidR="00FC3DF8">
        <w:rPr>
          <w:noProof/>
          <w:webHidden/>
        </w:rPr>
        <w:t>4</w:t>
      </w:r>
      <w:r>
        <w:fldChar w:fldCharType="end"/>
      </w:r>
    </w:p>
    <w:p w:rsidR="009957C6" w14:paraId="0A53CCD4" w14:textId="634F41E2">
      <w:pPr>
        <w:pStyle w:val="TableofFigures"/>
        <w:tabs>
          <w:tab w:val="right" w:leader="dot" w:pos="9350"/>
        </w:tabs>
        <w:rPr>
          <w:rFonts w:eastAsiaTheme="minorEastAsia"/>
          <w:noProof/>
        </w:rPr>
      </w:pPr>
      <w:r>
        <w:fldChar w:fldCharType="begin"/>
      </w:r>
      <w:r>
        <w:instrText xml:space="preserve"> HYPERLINK \l "_Toc513124073" </w:instrText>
      </w:r>
      <w:r>
        <w:fldChar w:fldCharType="separate"/>
      </w:r>
      <w:r w:rsidR="00A07138">
        <w:rPr>
          <w:rStyle w:val="Hyperlink"/>
          <w:rFonts w:ascii="Times New Roman" w:hAnsi="Times New Roman"/>
          <w:noProof/>
        </w:rPr>
        <w:t>Table 4</w:t>
      </w:r>
      <w:r w:rsidRPr="00544963">
        <w:rPr>
          <w:rStyle w:val="Hyperlink"/>
          <w:rFonts w:ascii="Times New Roman" w:hAnsi="Times New Roman"/>
          <w:noProof/>
        </w:rPr>
        <w:t>: Overall Certification – Central Office Backup Power Results</w:t>
      </w:r>
      <w:r>
        <w:rPr>
          <w:noProof/>
          <w:webHidden/>
        </w:rPr>
        <w:tab/>
      </w:r>
      <w:r w:rsidR="00FC3DF8">
        <w:rPr>
          <w:noProof/>
          <w:webHidden/>
        </w:rPr>
        <w:t>5</w:t>
      </w:r>
      <w:r>
        <w:fldChar w:fldCharType="end"/>
      </w:r>
    </w:p>
    <w:p w:rsidR="009957C6" w14:paraId="7EC38943" w14:textId="2D4532D6">
      <w:pPr>
        <w:pStyle w:val="TableofFigures"/>
        <w:tabs>
          <w:tab w:val="right" w:leader="dot" w:pos="9350"/>
        </w:tabs>
        <w:rPr>
          <w:rFonts w:eastAsiaTheme="minorEastAsia"/>
          <w:noProof/>
        </w:rPr>
      </w:pPr>
      <w:r>
        <w:fldChar w:fldCharType="begin"/>
      </w:r>
      <w:r>
        <w:instrText xml:space="preserve"> HYPERLINK \l "_Toc513124076" </w:instrText>
      </w:r>
      <w:r>
        <w:fldChar w:fldCharType="separate"/>
      </w:r>
      <w:r w:rsidR="00A07138">
        <w:rPr>
          <w:rStyle w:val="Hyperlink"/>
          <w:rFonts w:ascii="Times New Roman" w:hAnsi="Times New Roman"/>
          <w:noProof/>
        </w:rPr>
        <w:t>Table 5</w:t>
      </w:r>
      <w:r w:rsidRPr="00544963">
        <w:rPr>
          <w:rStyle w:val="Hyperlink"/>
          <w:rFonts w:ascii="Times New Roman" w:hAnsi="Times New Roman"/>
          <w:noProof/>
        </w:rPr>
        <w:t>: Summary of the Alternative Measures for Meeting the Backup Power Requirement</w:t>
      </w:r>
      <w:r>
        <w:rPr>
          <w:noProof/>
          <w:webHidden/>
        </w:rPr>
        <w:tab/>
      </w:r>
      <w:r w:rsidR="00FC3DF8">
        <w:rPr>
          <w:noProof/>
          <w:webHidden/>
        </w:rPr>
        <w:t>6</w:t>
      </w:r>
      <w:r>
        <w:fldChar w:fldCharType="end"/>
      </w:r>
    </w:p>
    <w:p w:rsidR="009957C6" w14:paraId="2E75CDF8" w14:textId="481B3394">
      <w:pPr>
        <w:pStyle w:val="TableofFigures"/>
        <w:tabs>
          <w:tab w:val="right" w:leader="dot" w:pos="9350"/>
        </w:tabs>
        <w:rPr>
          <w:rFonts w:eastAsiaTheme="minorEastAsia"/>
          <w:noProof/>
        </w:rPr>
      </w:pPr>
      <w:r>
        <w:fldChar w:fldCharType="begin"/>
      </w:r>
      <w:r>
        <w:instrText xml:space="preserve"> HYPERLINK \l "_Toc513124077" </w:instrText>
      </w:r>
      <w:r>
        <w:fldChar w:fldCharType="separate"/>
      </w:r>
      <w:r w:rsidR="00A07138">
        <w:rPr>
          <w:rStyle w:val="Hyperlink"/>
          <w:rFonts w:ascii="Times New Roman" w:hAnsi="Times New Roman"/>
          <w:noProof/>
        </w:rPr>
        <w:t>Table 6</w:t>
      </w:r>
      <w:r w:rsidR="00075BA4">
        <w:rPr>
          <w:rStyle w:val="Hyperlink"/>
          <w:rFonts w:ascii="Times New Roman" w:hAnsi="Times New Roman"/>
          <w:noProof/>
        </w:rPr>
        <w:t>:</w:t>
      </w:r>
      <w:r w:rsidRPr="00544963">
        <w:rPr>
          <w:rStyle w:val="Hyperlink"/>
          <w:rFonts w:ascii="Times New Roman" w:hAnsi="Times New Roman"/>
          <w:noProof/>
        </w:rPr>
        <w:t xml:space="preserve"> Overall Certification - Diverse Monitoring Results</w:t>
      </w:r>
      <w:r>
        <w:rPr>
          <w:noProof/>
          <w:webHidden/>
        </w:rPr>
        <w:tab/>
      </w:r>
      <w:r w:rsidR="00FC3DF8">
        <w:rPr>
          <w:noProof/>
          <w:webHidden/>
        </w:rPr>
        <w:t>7</w:t>
      </w:r>
      <w:r>
        <w:fldChar w:fldCharType="end"/>
      </w:r>
    </w:p>
    <w:p w:rsidR="009957C6" w14:paraId="786B7C08" w14:textId="20DCDE35">
      <w:pPr>
        <w:pStyle w:val="TableofFigures"/>
        <w:tabs>
          <w:tab w:val="right" w:leader="dot" w:pos="9350"/>
        </w:tabs>
        <w:rPr>
          <w:rFonts w:eastAsiaTheme="minorEastAsia"/>
          <w:noProof/>
        </w:rPr>
      </w:pPr>
      <w:r>
        <w:fldChar w:fldCharType="begin"/>
      </w:r>
      <w:r>
        <w:instrText xml:space="preserve"> HYPERLINK \l "_Toc513124078" </w:instrText>
      </w:r>
      <w:r>
        <w:fldChar w:fldCharType="separate"/>
      </w:r>
      <w:r w:rsidR="00A07138">
        <w:rPr>
          <w:rStyle w:val="Hyperlink"/>
          <w:rFonts w:ascii="Times New Roman" w:hAnsi="Times New Roman"/>
          <w:noProof/>
        </w:rPr>
        <w:t>Table 7</w:t>
      </w:r>
      <w:r w:rsidRPr="00544963">
        <w:rPr>
          <w:rStyle w:val="Hyperlink"/>
          <w:rFonts w:ascii="Times New Roman" w:hAnsi="Times New Roman"/>
          <w:noProof/>
        </w:rPr>
        <w:t>: Number of 911 Service Areas with Certified Diverse Monitoring</w:t>
      </w:r>
      <w:r>
        <w:rPr>
          <w:noProof/>
          <w:webHidden/>
        </w:rPr>
        <w:tab/>
      </w:r>
      <w:r w:rsidR="00FC3DF8">
        <w:rPr>
          <w:noProof/>
          <w:webHidden/>
        </w:rPr>
        <w:t>8</w:t>
      </w:r>
      <w:r>
        <w:fldChar w:fldCharType="end"/>
      </w:r>
    </w:p>
    <w:p w:rsidR="00A24035" w:rsidRPr="001A4989" w:rsidP="007654E8" w14:paraId="7DACAB3B" w14:textId="77777777">
      <w:pPr>
        <w:jc w:val="center"/>
        <w:rPr>
          <w:rFonts w:ascii="Times New Roman" w:hAnsi="Times New Roman"/>
          <w:sz w:val="48"/>
        </w:rPr>
      </w:pPr>
      <w:r w:rsidRPr="001A4989">
        <w:rPr>
          <w:rFonts w:ascii="Times New Roman" w:hAnsi="Times New Roman"/>
          <w:sz w:val="48"/>
        </w:rPr>
        <w:fldChar w:fldCharType="end"/>
      </w:r>
    </w:p>
    <w:p w:rsidR="00005C51" w:rsidRPr="001A4989" w14:paraId="6431F85B" w14:textId="77777777">
      <w:pPr>
        <w:rPr>
          <w:rFonts w:ascii="Times New Roman" w:hAnsi="Times New Roman"/>
          <w:sz w:val="48"/>
        </w:rPr>
        <w:sectPr w:rsidSect="00C93473">
          <w:pgSz w:w="12240" w:h="15840"/>
          <w:pgMar w:top="1440" w:right="1440" w:bottom="1440" w:left="1440" w:header="720" w:footer="720" w:gutter="0"/>
          <w:pgNumType w:fmt="lowerRoman" w:start="1"/>
          <w:cols w:space="720"/>
          <w:docGrid w:linePitch="360"/>
        </w:sectPr>
      </w:pPr>
    </w:p>
    <w:p w:rsidR="00E97328" w:rsidRPr="001A4989" w:rsidP="008F3DE6" w14:paraId="6C11BA0F" w14:textId="77777777">
      <w:pPr>
        <w:pStyle w:val="Heading1"/>
        <w:rPr>
          <w:rFonts w:ascii="Times New Roman" w:hAnsi="Times New Roman"/>
        </w:rPr>
      </w:pPr>
      <w:bookmarkStart w:id="1" w:name="_Toc513123977"/>
      <w:r w:rsidRPr="001A4989">
        <w:rPr>
          <w:rFonts w:ascii="Times New Roman" w:hAnsi="Times New Roman"/>
        </w:rPr>
        <w:t>Introduction</w:t>
      </w:r>
      <w:bookmarkEnd w:id="1"/>
    </w:p>
    <w:p w:rsidR="00CF608A" w:rsidRPr="00A9207F" w:rsidP="00F42858" w14:paraId="7F1BCD14" w14:textId="77777777">
      <w:pPr>
        <w:spacing w:after="0"/>
        <w:rPr>
          <w:rFonts w:ascii="Times New Roman" w:hAnsi="Times New Roman" w:cs="Times New Roman"/>
        </w:rPr>
      </w:pPr>
      <w:r w:rsidRPr="006D51AD">
        <w:rPr>
          <w:rFonts w:ascii="Times New Roman" w:hAnsi="Times New Roman" w:cs="Times New Roman"/>
        </w:rPr>
        <w:t>The Federal Communication</w:t>
      </w:r>
      <w:r w:rsidR="00F65780">
        <w:rPr>
          <w:rFonts w:ascii="Times New Roman" w:hAnsi="Times New Roman" w:cs="Times New Roman"/>
        </w:rPr>
        <w:t>s</w:t>
      </w:r>
      <w:r w:rsidRPr="006D51AD">
        <w:rPr>
          <w:rFonts w:ascii="Times New Roman" w:hAnsi="Times New Roman" w:cs="Times New Roman"/>
        </w:rPr>
        <w:t xml:space="preserve"> Commission </w:t>
      </w:r>
      <w:r w:rsidR="006D51AD">
        <w:rPr>
          <w:rFonts w:ascii="Times New Roman" w:hAnsi="Times New Roman" w:cs="Times New Roman"/>
        </w:rPr>
        <w:t xml:space="preserve">(Commission or FCC) </w:t>
      </w:r>
      <w:r w:rsidRPr="006D51AD">
        <w:rPr>
          <w:rFonts w:ascii="Times New Roman" w:hAnsi="Times New Roman" w:cs="Times New Roman"/>
        </w:rPr>
        <w:t xml:space="preserve">helps ensure the reliability of 911 networks by requiring 911 service providers to certify </w:t>
      </w:r>
      <w:r w:rsidR="00F65780">
        <w:rPr>
          <w:rFonts w:ascii="Times New Roman" w:hAnsi="Times New Roman" w:cs="Times New Roman"/>
        </w:rPr>
        <w:t>whether</w:t>
      </w:r>
      <w:r w:rsidRPr="006D51AD">
        <w:rPr>
          <w:rFonts w:ascii="Times New Roman" w:hAnsi="Times New Roman" w:cs="Times New Roman"/>
        </w:rPr>
        <w:t xml:space="preserve"> they have</w:t>
      </w:r>
      <w:r w:rsidR="00826677">
        <w:rPr>
          <w:rFonts w:ascii="Times New Roman" w:hAnsi="Times New Roman" w:cs="Times New Roman"/>
        </w:rPr>
        <w:t xml:space="preserve"> implemented </w:t>
      </w:r>
      <w:r w:rsidRPr="006D51AD">
        <w:rPr>
          <w:rFonts w:ascii="Times New Roman" w:hAnsi="Times New Roman" w:cs="Times New Roman"/>
        </w:rPr>
        <w:t xml:space="preserve">measures </w:t>
      </w:r>
      <w:r w:rsidR="00F65780">
        <w:rPr>
          <w:rFonts w:ascii="Times New Roman" w:hAnsi="Times New Roman" w:cs="Times New Roman"/>
        </w:rPr>
        <w:t>designed to</w:t>
      </w:r>
      <w:r w:rsidRPr="006D51AD">
        <w:rPr>
          <w:rFonts w:ascii="Times New Roman" w:hAnsi="Times New Roman" w:cs="Times New Roman"/>
        </w:rPr>
        <w:t xml:space="preserve"> prevent a loss of 911 service to the public.  </w:t>
      </w:r>
      <w:r w:rsidRPr="006D51AD" w:rsidR="008C22D4">
        <w:rPr>
          <w:rFonts w:ascii="Times New Roman" w:hAnsi="Times New Roman" w:cs="Times New Roman"/>
        </w:rPr>
        <w:t>The Commission’s 911 certification rules apply to</w:t>
      </w:r>
      <w:r w:rsidRPr="001A4989" w:rsidR="008C22D4">
        <w:rPr>
          <w:rFonts w:ascii="Times New Roman" w:hAnsi="Times New Roman"/>
        </w:rPr>
        <w:t xml:space="preserve"> communications service providers that offer 911, E911 or NG911 capabilities such as call routing, automatic location information, and automatic number identification or their functional equivalent directly to a public safety answering point (PSAP),</w:t>
      </w:r>
      <w:r>
        <w:rPr>
          <w:rStyle w:val="FootnoteReference"/>
          <w:rFonts w:ascii="Times New Roman" w:hAnsi="Times New Roman"/>
        </w:rPr>
        <w:footnoteReference w:id="3"/>
      </w:r>
      <w:r w:rsidRPr="001A4989" w:rsidR="008C22D4">
        <w:rPr>
          <w:rFonts w:ascii="Times New Roman" w:hAnsi="Times New Roman"/>
        </w:rPr>
        <w:t xml:space="preserve"> or that operate at least one central office </w:t>
      </w:r>
      <w:r w:rsidR="008C22D4">
        <w:rPr>
          <w:rFonts w:ascii="Times New Roman" w:hAnsi="Times New Roman" w:cs="Times New Roman"/>
        </w:rPr>
        <w:t>(CO)</w:t>
      </w:r>
      <w:r w:rsidRPr="006D51AD" w:rsidR="008C22D4">
        <w:rPr>
          <w:rFonts w:ascii="Times New Roman" w:hAnsi="Times New Roman" w:cs="Times New Roman"/>
        </w:rPr>
        <w:t xml:space="preserve"> </w:t>
      </w:r>
      <w:r w:rsidRPr="001A4989" w:rsidR="008C22D4">
        <w:rPr>
          <w:rFonts w:ascii="Times New Roman" w:hAnsi="Times New Roman"/>
        </w:rPr>
        <w:t>that directly serves a PSAP.</w:t>
      </w:r>
      <w:r>
        <w:rPr>
          <w:rStyle w:val="FootnoteReference"/>
          <w:rFonts w:ascii="Times New Roman" w:hAnsi="Times New Roman"/>
        </w:rPr>
        <w:footnoteReference w:id="4"/>
      </w:r>
      <w:r w:rsidRPr="001A4989" w:rsidR="008C22D4">
        <w:rPr>
          <w:rFonts w:ascii="Times New Roman" w:hAnsi="Times New Roman"/>
        </w:rPr>
        <w:t xml:space="preserve">  Under Commission rules, these covered entities are required to submit annual certifications attesting to implement</w:t>
      </w:r>
      <w:r w:rsidR="008C22D4">
        <w:rPr>
          <w:rFonts w:ascii="Times New Roman" w:hAnsi="Times New Roman"/>
        </w:rPr>
        <w:t>ation of</w:t>
      </w:r>
      <w:r w:rsidRPr="001A4989" w:rsidR="008C22D4">
        <w:rPr>
          <w:rFonts w:ascii="Times New Roman" w:hAnsi="Times New Roman"/>
        </w:rPr>
        <w:t xml:space="preserve"> specified measures</w:t>
      </w:r>
      <w:r w:rsidR="008C22D4">
        <w:rPr>
          <w:rFonts w:ascii="Times New Roman" w:hAnsi="Times New Roman"/>
        </w:rPr>
        <w:t>,</w:t>
      </w:r>
      <w:r w:rsidRPr="001A4989" w:rsidR="008C22D4">
        <w:rPr>
          <w:rFonts w:ascii="Times New Roman" w:hAnsi="Times New Roman"/>
        </w:rPr>
        <w:t xml:space="preserve"> or alternative measures</w:t>
      </w:r>
      <w:r w:rsidR="008C22D4">
        <w:rPr>
          <w:rFonts w:ascii="Times New Roman" w:hAnsi="Times New Roman"/>
        </w:rPr>
        <w:t>,</w:t>
      </w:r>
      <w:r w:rsidRPr="001A4989" w:rsidR="008C22D4">
        <w:rPr>
          <w:rFonts w:ascii="Times New Roman" w:hAnsi="Times New Roman"/>
        </w:rPr>
        <w:t xml:space="preserve"> to promote reliable</w:t>
      </w:r>
      <w:r w:rsidRPr="006D51AD" w:rsidR="008C22D4">
        <w:rPr>
          <w:rFonts w:ascii="Times New Roman" w:hAnsi="Times New Roman" w:cs="Times New Roman"/>
        </w:rPr>
        <w:t xml:space="preserve"> </w:t>
      </w:r>
      <w:r w:rsidRPr="00A9207F" w:rsidR="008C22D4">
        <w:rPr>
          <w:rFonts w:ascii="Times New Roman" w:hAnsi="Times New Roman" w:cs="Times New Roman"/>
        </w:rPr>
        <w:t>911 service.</w:t>
      </w:r>
      <w:r>
        <w:rPr>
          <w:rStyle w:val="FootnoteReference"/>
          <w:rFonts w:ascii="Times New Roman" w:hAnsi="Times New Roman" w:cs="Times New Roman"/>
        </w:rPr>
        <w:footnoteReference w:id="5"/>
      </w:r>
      <w:r w:rsidRPr="00A9207F" w:rsidR="008C22D4">
        <w:rPr>
          <w:rFonts w:ascii="Times New Roman" w:hAnsi="Times New Roman" w:cs="Times New Roman"/>
        </w:rPr>
        <w:t xml:space="preserve">  Where a covered entity chooses to implement an alternative measure, it must explain why that measure is reasonably sufficient to mitigate risk to 911 service.</w:t>
      </w:r>
      <w:r>
        <w:rPr>
          <w:rStyle w:val="FootnoteReference"/>
          <w:rFonts w:ascii="Times New Roman" w:hAnsi="Times New Roman" w:cs="Times New Roman"/>
        </w:rPr>
        <w:footnoteReference w:id="6"/>
      </w:r>
      <w:r w:rsidRPr="00A9207F" w:rsidR="008C22D4">
        <w:rPr>
          <w:rFonts w:ascii="Times New Roman" w:hAnsi="Times New Roman" w:cs="Times New Roman"/>
        </w:rPr>
        <w:t xml:space="preserve">  Covered entities are required to certify with respect to three elements: 911 circuit diversity, backup power, and network monitoring.</w:t>
      </w:r>
      <w:r>
        <w:rPr>
          <w:rStyle w:val="FootnoteReference"/>
          <w:rFonts w:ascii="Times New Roman" w:hAnsi="Times New Roman" w:cs="Times New Roman"/>
        </w:rPr>
        <w:footnoteReference w:id="7"/>
      </w:r>
      <w:r w:rsidR="008C22D4">
        <w:rPr>
          <w:rFonts w:ascii="Times New Roman" w:hAnsi="Times New Roman" w:cs="Times New Roman"/>
        </w:rPr>
        <w:t xml:space="preserve">  </w:t>
      </w:r>
      <w:r w:rsidRPr="001A4989" w:rsidR="00167596">
        <w:rPr>
          <w:rFonts w:ascii="Times New Roman" w:hAnsi="Times New Roman"/>
        </w:rPr>
        <w:t xml:space="preserve">In this report, the </w:t>
      </w:r>
      <w:r w:rsidRPr="006D51AD">
        <w:rPr>
          <w:rFonts w:ascii="Times New Roman" w:hAnsi="Times New Roman" w:cs="Times New Roman"/>
        </w:rPr>
        <w:t xml:space="preserve">Commission’s </w:t>
      </w:r>
      <w:r w:rsidRPr="001A4989" w:rsidR="00167596">
        <w:rPr>
          <w:rFonts w:ascii="Times New Roman" w:hAnsi="Times New Roman"/>
        </w:rPr>
        <w:t>Public Safety and Homeland Security Bureau (Bureau or PSHSB)</w:t>
      </w:r>
      <w:r w:rsidRPr="001A4989" w:rsidR="00004649">
        <w:rPr>
          <w:rFonts w:ascii="Times New Roman" w:hAnsi="Times New Roman"/>
        </w:rPr>
        <w:t xml:space="preserve"> provides </w:t>
      </w:r>
      <w:r w:rsidRPr="001A4989" w:rsidR="00167596">
        <w:rPr>
          <w:rFonts w:ascii="Times New Roman" w:hAnsi="Times New Roman"/>
        </w:rPr>
        <w:t>information</w:t>
      </w:r>
      <w:r w:rsidRPr="001A4989" w:rsidR="00004649">
        <w:rPr>
          <w:rFonts w:ascii="Times New Roman" w:hAnsi="Times New Roman"/>
        </w:rPr>
        <w:t xml:space="preserve"> on the 911 reliability measures </w:t>
      </w:r>
      <w:r w:rsidR="00F65780">
        <w:rPr>
          <w:rFonts w:ascii="Times New Roman" w:hAnsi="Times New Roman"/>
        </w:rPr>
        <w:t>certified to</w:t>
      </w:r>
      <w:r w:rsidR="00C9361A">
        <w:rPr>
          <w:rFonts w:ascii="Times New Roman" w:hAnsi="Times New Roman" w:cs="Times New Roman"/>
        </w:rPr>
        <w:t xml:space="preserve"> </w:t>
      </w:r>
      <w:r w:rsidRPr="006D51AD" w:rsidR="00004649">
        <w:rPr>
          <w:rFonts w:ascii="Times New Roman" w:hAnsi="Times New Roman" w:cs="Times New Roman"/>
        </w:rPr>
        <w:t>by</w:t>
      </w:r>
      <w:r w:rsidRPr="006D51AD" w:rsidR="00B75D60">
        <w:rPr>
          <w:rFonts w:ascii="Times New Roman" w:hAnsi="Times New Roman" w:cs="Times New Roman"/>
        </w:rPr>
        <w:t xml:space="preserve"> </w:t>
      </w:r>
      <w:r w:rsidRPr="006D51AD">
        <w:rPr>
          <w:rFonts w:ascii="Times New Roman" w:hAnsi="Times New Roman" w:cs="Times New Roman"/>
        </w:rPr>
        <w:t>these covered entities</w:t>
      </w:r>
      <w:r w:rsidR="008C22D4">
        <w:rPr>
          <w:rFonts w:ascii="Times New Roman" w:hAnsi="Times New Roman" w:cs="Times New Roman"/>
        </w:rPr>
        <w:t xml:space="preserve"> in 2017</w:t>
      </w:r>
      <w:r w:rsidRPr="006D51AD">
        <w:rPr>
          <w:rFonts w:ascii="Times New Roman" w:hAnsi="Times New Roman" w:cs="Times New Roman"/>
        </w:rPr>
        <w:t>.</w:t>
      </w:r>
      <w:r>
        <w:rPr>
          <w:rStyle w:val="FootnoteReference"/>
          <w:rFonts w:ascii="Times New Roman" w:hAnsi="Times New Roman" w:cs="Times New Roman"/>
        </w:rPr>
        <w:footnoteReference w:id="8"/>
      </w:r>
      <w:r w:rsidRPr="006D51AD">
        <w:rPr>
          <w:rFonts w:ascii="Times New Roman" w:hAnsi="Times New Roman" w:cs="Times New Roman"/>
        </w:rPr>
        <w:t xml:space="preserve">  </w:t>
      </w:r>
      <w:r w:rsidRPr="00A9207F" w:rsidR="0053046B">
        <w:rPr>
          <w:rFonts w:ascii="Times New Roman" w:hAnsi="Times New Roman" w:cs="Times New Roman"/>
        </w:rPr>
        <w:t xml:space="preserve"> </w:t>
      </w:r>
      <w:r w:rsidRPr="00A9207F" w:rsidR="00AE545B">
        <w:rPr>
          <w:rFonts w:ascii="Times New Roman" w:hAnsi="Times New Roman" w:cs="Times New Roman"/>
        </w:rPr>
        <w:t xml:space="preserve"> </w:t>
      </w:r>
      <w:bookmarkStart w:id="2" w:name="_Hlk506983061"/>
      <w:r w:rsidRPr="00A9207F">
        <w:rPr>
          <w:rFonts w:ascii="Times New Roman" w:hAnsi="Times New Roman" w:cs="Times New Roman"/>
        </w:rPr>
        <w:t xml:space="preserve"> </w:t>
      </w:r>
      <w:bookmarkEnd w:id="2"/>
    </w:p>
    <w:p w:rsidR="005B7150" w:rsidRPr="00A9207F" w:rsidP="00F42858" w14:paraId="68976D60" w14:textId="77777777">
      <w:pPr>
        <w:spacing w:after="0"/>
        <w:rPr>
          <w:rFonts w:ascii="Times New Roman" w:hAnsi="Times New Roman" w:cs="Times New Roman"/>
        </w:rPr>
      </w:pPr>
    </w:p>
    <w:p w:rsidR="00A9207F" w:rsidRPr="00A9207F" w:rsidP="00A9207F" w14:paraId="144BF87C" w14:textId="77777777">
      <w:pPr>
        <w:spacing w:after="0"/>
        <w:rPr>
          <w:rFonts w:ascii="Times New Roman" w:hAnsi="Times New Roman" w:cs="Times New Roman"/>
        </w:rPr>
      </w:pPr>
      <w:r w:rsidRPr="00A9207F">
        <w:rPr>
          <w:rFonts w:ascii="Times New Roman" w:hAnsi="Times New Roman" w:cs="Times New Roman"/>
        </w:rPr>
        <w:t>One</w:t>
      </w:r>
      <w:r w:rsidRPr="00A9207F" w:rsidR="00CF61F2">
        <w:rPr>
          <w:rFonts w:ascii="Times New Roman" w:hAnsi="Times New Roman" w:cs="Times New Roman"/>
        </w:rPr>
        <w:t xml:space="preserve"> </w:t>
      </w:r>
      <w:r w:rsidRPr="00A9207F">
        <w:rPr>
          <w:rFonts w:ascii="Times New Roman" w:hAnsi="Times New Roman" w:cs="Times New Roman"/>
        </w:rPr>
        <w:t xml:space="preserve">hundred eighty-eight </w:t>
      </w:r>
      <w:r w:rsidRPr="00A9207F">
        <w:rPr>
          <w:rFonts w:ascii="Times New Roman" w:hAnsi="Times New Roman" w:cs="Times New Roman"/>
        </w:rPr>
        <w:t>covered entities filed certifications,</w:t>
      </w:r>
      <w:r w:rsidRPr="00A9207F" w:rsidR="000A4714">
        <w:rPr>
          <w:rFonts w:ascii="Times New Roman" w:hAnsi="Times New Roman" w:cs="Times New Roman"/>
        </w:rPr>
        <w:t xml:space="preserve"> </w:t>
      </w:r>
      <w:r w:rsidRPr="00A9207F" w:rsidR="009A0E06">
        <w:rPr>
          <w:rFonts w:ascii="Times New Roman" w:hAnsi="Times New Roman" w:cs="Times New Roman"/>
        </w:rPr>
        <w:t>including</w:t>
      </w:r>
      <w:r w:rsidRPr="00A9207F" w:rsidR="000A4714">
        <w:rPr>
          <w:rFonts w:ascii="Times New Roman" w:hAnsi="Times New Roman" w:cs="Times New Roman"/>
        </w:rPr>
        <w:t xml:space="preserve"> </w:t>
      </w:r>
      <w:r w:rsidRPr="00A9207F">
        <w:rPr>
          <w:rFonts w:ascii="Times New Roman" w:hAnsi="Times New Roman" w:cs="Times New Roman"/>
        </w:rPr>
        <w:t>the nine largest</w:t>
      </w:r>
      <w:r w:rsidRPr="00A9207F" w:rsidR="008D5D98">
        <w:rPr>
          <w:rFonts w:ascii="Times New Roman" w:hAnsi="Times New Roman" w:cs="Times New Roman"/>
        </w:rPr>
        <w:t xml:space="preserve"> </w:t>
      </w:r>
      <w:r w:rsidRPr="00A9207F" w:rsidR="009E7D70">
        <w:rPr>
          <w:rFonts w:ascii="Times New Roman" w:hAnsi="Times New Roman" w:cs="Times New Roman"/>
        </w:rPr>
        <w:t>covered entities</w:t>
      </w:r>
      <w:r w:rsidRPr="00A9207F" w:rsidR="00150CFF">
        <w:rPr>
          <w:rFonts w:ascii="Times New Roman" w:hAnsi="Times New Roman" w:cs="Times New Roman"/>
        </w:rPr>
        <w:t xml:space="preserve">.  </w:t>
      </w:r>
      <w:r w:rsidRPr="00A9207F">
        <w:rPr>
          <w:rFonts w:ascii="Times New Roman" w:hAnsi="Times New Roman" w:cs="Times New Roman"/>
        </w:rPr>
        <w:t>A high-level summary of the certifications shows that:</w:t>
      </w:r>
    </w:p>
    <w:p w:rsidR="00A9207F" w:rsidRPr="00A9207F" w:rsidP="00A9207F" w14:paraId="41886325" w14:textId="77777777">
      <w:pPr>
        <w:spacing w:after="0"/>
        <w:rPr>
          <w:rFonts w:ascii="Times New Roman" w:hAnsi="Times New Roman" w:cs="Times New Roman"/>
        </w:rPr>
      </w:pPr>
    </w:p>
    <w:p w:rsidR="00A9207F" w:rsidP="00A9207F" w14:paraId="285061D4" w14:textId="77777777">
      <w:pPr>
        <w:numPr>
          <w:ilvl w:val="0"/>
          <w:numId w:val="12"/>
        </w:numPr>
        <w:spacing w:after="0" w:line="240" w:lineRule="auto"/>
        <w:rPr>
          <w:rFonts w:ascii="Times New Roman" w:eastAsia="Times New Roman" w:hAnsi="Times New Roman" w:cs="Times New Roman"/>
        </w:rPr>
      </w:pPr>
      <w:r w:rsidRPr="00A9207F">
        <w:rPr>
          <w:rFonts w:ascii="Times New Roman" w:eastAsia="Times New Roman" w:hAnsi="Times New Roman" w:cs="Times New Roman"/>
        </w:rPr>
        <w:t xml:space="preserve">Of the 188 covered entities that filed certifications, 48 certified that they have diverse 911 circuits to all PSAPs to which they provide 911 circuits.  Twenty covered entities certified that they </w:t>
      </w:r>
      <w:r w:rsidR="008C22D4">
        <w:rPr>
          <w:rFonts w:ascii="Times New Roman" w:eastAsia="Times New Roman" w:hAnsi="Times New Roman" w:cs="Times New Roman"/>
        </w:rPr>
        <w:t>have implemented</w:t>
      </w:r>
      <w:r w:rsidRPr="00A9207F" w:rsidR="008C22D4">
        <w:rPr>
          <w:rFonts w:ascii="Times New Roman" w:eastAsia="Times New Roman" w:hAnsi="Times New Roman" w:cs="Times New Roman"/>
        </w:rPr>
        <w:t xml:space="preserve"> </w:t>
      </w:r>
      <w:r w:rsidRPr="00A9207F">
        <w:rPr>
          <w:rFonts w:ascii="Times New Roman" w:eastAsia="Times New Roman" w:hAnsi="Times New Roman" w:cs="Times New Roman"/>
        </w:rPr>
        <w:t>alternative measures in lieu of circuit diversity for all of the PSAPs that they serve.</w:t>
      </w:r>
      <w:r w:rsidR="00A6065A">
        <w:rPr>
          <w:rFonts w:ascii="Times New Roman" w:eastAsia="Times New Roman" w:hAnsi="Times New Roman" w:cs="Times New Roman"/>
        </w:rPr>
        <w:t xml:space="preserve">  Fifteen covered entities certified that they </w:t>
      </w:r>
      <w:r w:rsidR="003C7625">
        <w:rPr>
          <w:rFonts w:ascii="Times New Roman" w:eastAsia="Times New Roman" w:hAnsi="Times New Roman" w:cs="Times New Roman"/>
        </w:rPr>
        <w:t xml:space="preserve">provide </w:t>
      </w:r>
      <w:r w:rsidR="00A6065A">
        <w:rPr>
          <w:rFonts w:ascii="Times New Roman" w:eastAsia="Times New Roman" w:hAnsi="Times New Roman" w:cs="Times New Roman"/>
        </w:rPr>
        <w:t>diverse 911 circuits to some PSAP</w:t>
      </w:r>
      <w:r w:rsidR="006437DB">
        <w:rPr>
          <w:rFonts w:ascii="Times New Roman" w:eastAsia="Times New Roman" w:hAnsi="Times New Roman" w:cs="Times New Roman"/>
        </w:rPr>
        <w:t>s</w:t>
      </w:r>
      <w:r w:rsidR="00A6065A">
        <w:rPr>
          <w:rFonts w:ascii="Times New Roman" w:eastAsia="Times New Roman" w:hAnsi="Times New Roman" w:cs="Times New Roman"/>
        </w:rPr>
        <w:t xml:space="preserve"> and that they have implemented alternative measures to other PSAP</w:t>
      </w:r>
      <w:r w:rsidR="003C7625">
        <w:rPr>
          <w:rFonts w:ascii="Times New Roman" w:eastAsia="Times New Roman" w:hAnsi="Times New Roman" w:cs="Times New Roman"/>
        </w:rPr>
        <w:t>s</w:t>
      </w:r>
      <w:r w:rsidR="00A6065A">
        <w:rPr>
          <w:rFonts w:ascii="Times New Roman" w:eastAsia="Times New Roman" w:hAnsi="Times New Roman" w:cs="Times New Roman"/>
        </w:rPr>
        <w:t xml:space="preserve"> to which they provide 911 circuits.</w:t>
      </w:r>
      <w:r w:rsidRPr="006437DB" w:rsidR="006437DB">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9"/>
      </w:r>
    </w:p>
    <w:p w:rsidR="00A9207F" w:rsidRPr="00A9207F" w:rsidP="00A9207F" w14:paraId="2EC5BE42" w14:textId="77777777">
      <w:pPr>
        <w:spacing w:after="0" w:line="240" w:lineRule="auto"/>
        <w:ind w:left="720"/>
        <w:rPr>
          <w:rFonts w:ascii="Times New Roman" w:eastAsia="Times New Roman" w:hAnsi="Times New Roman" w:cs="Times New Roman"/>
        </w:rPr>
      </w:pPr>
    </w:p>
    <w:p w:rsidR="00A9207F" w:rsidRPr="00A9207F" w:rsidP="00A9207F" w14:paraId="7320C550" w14:textId="77777777">
      <w:pPr>
        <w:numPr>
          <w:ilvl w:val="0"/>
          <w:numId w:val="12"/>
        </w:numPr>
        <w:spacing w:after="0" w:line="240" w:lineRule="auto"/>
        <w:rPr>
          <w:rFonts w:ascii="Times New Roman" w:eastAsia="Times New Roman" w:hAnsi="Times New Roman" w:cs="Times New Roman"/>
        </w:rPr>
      </w:pPr>
      <w:r w:rsidRPr="00A9207F">
        <w:rPr>
          <w:rFonts w:ascii="Times New Roman" w:eastAsia="Times New Roman" w:hAnsi="Times New Roman" w:cs="Times New Roman"/>
        </w:rPr>
        <w:t>There were 6,769 unique PSAPs listed in the certifications for 911 circuit diversity.  The certifications showed that of these 6,769 PSAPs, 3,855 PSAPs had diverse circuits and 2,914 had implemented alternative measures.</w:t>
      </w:r>
      <w:r w:rsidR="00A6065A">
        <w:rPr>
          <w:rFonts w:ascii="Times New Roman" w:eastAsia="Times New Roman" w:hAnsi="Times New Roman" w:cs="Times New Roman"/>
        </w:rPr>
        <w:t xml:space="preserve">  </w:t>
      </w:r>
    </w:p>
    <w:p w:rsidR="00A9207F" w:rsidRPr="00A9207F" w:rsidP="00A9207F" w14:paraId="4B3E7803" w14:textId="77777777">
      <w:pPr>
        <w:spacing w:after="0" w:line="240" w:lineRule="auto"/>
        <w:ind w:left="720"/>
        <w:rPr>
          <w:rFonts w:ascii="Times New Roman" w:eastAsia="Times New Roman" w:hAnsi="Times New Roman" w:cs="Times New Roman"/>
        </w:rPr>
      </w:pPr>
    </w:p>
    <w:p w:rsidR="00A9207F" w:rsidRPr="00A9207F" w:rsidP="00A9207F" w14:paraId="368EDEEF" w14:textId="05BA40A4">
      <w:pPr>
        <w:numPr>
          <w:ilvl w:val="0"/>
          <w:numId w:val="12"/>
        </w:numPr>
        <w:spacing w:after="0" w:line="240" w:lineRule="auto"/>
        <w:rPr>
          <w:rFonts w:ascii="Times New Roman" w:eastAsia="Times New Roman" w:hAnsi="Times New Roman" w:cs="Times New Roman"/>
        </w:rPr>
      </w:pPr>
      <w:r w:rsidRPr="00A9207F">
        <w:rPr>
          <w:rFonts w:ascii="Times New Roman" w:eastAsia="Times New Roman" w:hAnsi="Times New Roman" w:cs="Times New Roman"/>
        </w:rPr>
        <w:t>Of the 188 covered entities that filed certifications, 165 indicated that they have certified backup power in all central offices that serve PSAPs.  Nine certified that they have alternative measures for backup power in all such central offices</w:t>
      </w:r>
      <w:r w:rsidR="00326812">
        <w:rPr>
          <w:rFonts w:ascii="Times New Roman" w:eastAsia="Times New Roman" w:hAnsi="Times New Roman" w:cs="Times New Roman"/>
        </w:rPr>
        <w:t>, and</w:t>
      </w:r>
      <w:r w:rsidRPr="00A9207F">
        <w:rPr>
          <w:rFonts w:ascii="Times New Roman" w:eastAsia="Times New Roman" w:hAnsi="Times New Roman" w:cs="Times New Roman"/>
        </w:rPr>
        <w:t xml:space="preserve"> </w:t>
      </w:r>
      <w:r w:rsidR="00823081">
        <w:rPr>
          <w:rFonts w:ascii="Times New Roman" w:eastAsia="Times New Roman" w:hAnsi="Times New Roman" w:cs="Times New Roman"/>
        </w:rPr>
        <w:t>f</w:t>
      </w:r>
      <w:r w:rsidR="006437DB">
        <w:rPr>
          <w:rFonts w:ascii="Times New Roman" w:eastAsia="Times New Roman" w:hAnsi="Times New Roman" w:cs="Times New Roman"/>
        </w:rPr>
        <w:t>our covered entities certified that th</w:t>
      </w:r>
      <w:r w:rsidR="004F3C01">
        <w:rPr>
          <w:rFonts w:ascii="Times New Roman" w:eastAsia="Times New Roman" w:hAnsi="Times New Roman" w:cs="Times New Roman"/>
        </w:rPr>
        <w:t>ey have back-up power in some central office</w:t>
      </w:r>
      <w:r w:rsidR="006437DB">
        <w:rPr>
          <w:rFonts w:ascii="Times New Roman" w:eastAsia="Times New Roman" w:hAnsi="Times New Roman" w:cs="Times New Roman"/>
        </w:rPr>
        <w:t>s and have implemented alte</w:t>
      </w:r>
      <w:r w:rsidR="004F3C01">
        <w:rPr>
          <w:rFonts w:ascii="Times New Roman" w:eastAsia="Times New Roman" w:hAnsi="Times New Roman" w:cs="Times New Roman"/>
        </w:rPr>
        <w:t>rnative measures in all other central offices.</w:t>
      </w:r>
      <w:r>
        <w:rPr>
          <w:rFonts w:ascii="Times New Roman" w:eastAsia="Times New Roman" w:hAnsi="Times New Roman" w:cs="Times New Roman"/>
          <w:vertAlign w:val="superscript"/>
        </w:rPr>
        <w:footnoteReference w:id="10"/>
      </w:r>
    </w:p>
    <w:p w:rsidR="00A9207F" w:rsidRPr="00A9207F" w:rsidP="00A9207F" w14:paraId="220B5A7B" w14:textId="77777777">
      <w:pPr>
        <w:spacing w:after="0" w:line="240" w:lineRule="auto"/>
        <w:ind w:left="720"/>
        <w:rPr>
          <w:rFonts w:ascii="Times New Roman" w:eastAsia="Times New Roman" w:hAnsi="Times New Roman" w:cs="Times New Roman"/>
        </w:rPr>
      </w:pPr>
    </w:p>
    <w:p w:rsidR="00A9207F" w:rsidRPr="00A9207F" w:rsidP="00A9207F" w14:paraId="289AEA7D" w14:textId="77777777">
      <w:pPr>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O</w:t>
      </w:r>
      <w:r w:rsidRPr="00A9207F">
        <w:rPr>
          <w:rFonts w:ascii="Times New Roman" w:eastAsia="Times New Roman" w:hAnsi="Times New Roman" w:cs="Times New Roman"/>
        </w:rPr>
        <w:t xml:space="preserve">f 188 covered entities </w:t>
      </w:r>
      <w:r>
        <w:rPr>
          <w:rFonts w:ascii="Times New Roman" w:eastAsia="Times New Roman" w:hAnsi="Times New Roman" w:cs="Times New Roman"/>
        </w:rPr>
        <w:t>that filed certifications, 51</w:t>
      </w:r>
      <w:r w:rsidRPr="00A9207F">
        <w:rPr>
          <w:rFonts w:ascii="Times New Roman" w:eastAsia="Times New Roman" w:hAnsi="Times New Roman" w:cs="Times New Roman"/>
        </w:rPr>
        <w:t xml:space="preserve"> </w:t>
      </w:r>
      <w:r>
        <w:rPr>
          <w:rFonts w:ascii="Times New Roman" w:eastAsia="Times New Roman" w:hAnsi="Times New Roman" w:cs="Times New Roman"/>
        </w:rPr>
        <w:t>stated</w:t>
      </w:r>
      <w:r w:rsidRPr="00A9207F">
        <w:rPr>
          <w:rFonts w:ascii="Times New Roman" w:eastAsia="Times New Roman" w:hAnsi="Times New Roman" w:cs="Times New Roman"/>
        </w:rPr>
        <w:t xml:space="preserve"> that they have diverse monitoring in all of their 911 service areas</w:t>
      </w:r>
      <w:r>
        <w:rPr>
          <w:rFonts w:ascii="Times New Roman" w:eastAsia="Times New Roman" w:hAnsi="Times New Roman" w:cs="Times New Roman"/>
        </w:rPr>
        <w:t>,</w:t>
      </w:r>
      <w:r w:rsidRPr="00A9207F">
        <w:rPr>
          <w:rFonts w:ascii="Times New Roman" w:eastAsia="Times New Roman" w:hAnsi="Times New Roman" w:cs="Times New Roman"/>
        </w:rPr>
        <w:t> </w:t>
      </w:r>
      <w:r>
        <w:rPr>
          <w:rFonts w:ascii="Times New Roman" w:eastAsia="Times New Roman" w:hAnsi="Times New Roman" w:cs="Times New Roman"/>
        </w:rPr>
        <w:t>and</w:t>
      </w:r>
      <w:r w:rsidR="00A6065A">
        <w:rPr>
          <w:rFonts w:ascii="Times New Roman" w:eastAsia="Times New Roman" w:hAnsi="Times New Roman" w:cs="Times New Roman"/>
        </w:rPr>
        <w:t xml:space="preserve"> </w:t>
      </w:r>
      <w:r>
        <w:rPr>
          <w:rFonts w:ascii="Times New Roman" w:eastAsia="Times New Roman" w:hAnsi="Times New Roman" w:cs="Times New Roman"/>
        </w:rPr>
        <w:t>t</w:t>
      </w:r>
      <w:r w:rsidRPr="00A9207F">
        <w:rPr>
          <w:rFonts w:ascii="Times New Roman" w:eastAsia="Times New Roman" w:hAnsi="Times New Roman" w:cs="Times New Roman"/>
        </w:rPr>
        <w:t>en stated that they ha</w:t>
      </w:r>
      <w:r>
        <w:rPr>
          <w:rFonts w:ascii="Times New Roman" w:eastAsia="Times New Roman" w:hAnsi="Times New Roman" w:cs="Times New Roman"/>
        </w:rPr>
        <w:t>ve</w:t>
      </w:r>
      <w:r w:rsidRPr="00A9207F">
        <w:rPr>
          <w:rFonts w:ascii="Times New Roman" w:eastAsia="Times New Roman" w:hAnsi="Times New Roman" w:cs="Times New Roman"/>
        </w:rPr>
        <w:t xml:space="preserve"> certified alternative measures in all 911 service areas. </w:t>
      </w:r>
      <w:r w:rsidR="00A6065A">
        <w:rPr>
          <w:rFonts w:ascii="Times New Roman" w:eastAsia="Times New Roman" w:hAnsi="Times New Roman" w:cs="Times New Roman"/>
        </w:rPr>
        <w:t xml:space="preserve"> Seven covered </w:t>
      </w:r>
      <w:r w:rsidR="0037017A">
        <w:rPr>
          <w:rFonts w:ascii="Times New Roman" w:eastAsia="Times New Roman" w:hAnsi="Times New Roman" w:cs="Times New Roman"/>
        </w:rPr>
        <w:t xml:space="preserve">entities </w:t>
      </w:r>
      <w:r w:rsidR="00A6065A">
        <w:rPr>
          <w:rFonts w:ascii="Times New Roman" w:eastAsia="Times New Roman" w:hAnsi="Times New Roman" w:cs="Times New Roman"/>
        </w:rPr>
        <w:t xml:space="preserve">certified that they </w:t>
      </w:r>
      <w:r w:rsidR="003C7625">
        <w:rPr>
          <w:rFonts w:ascii="Times New Roman" w:eastAsia="Times New Roman" w:hAnsi="Times New Roman" w:cs="Times New Roman"/>
        </w:rPr>
        <w:t xml:space="preserve">provide </w:t>
      </w:r>
      <w:r w:rsidR="00A6065A">
        <w:rPr>
          <w:rFonts w:ascii="Times New Roman" w:eastAsia="Times New Roman" w:hAnsi="Times New Roman" w:cs="Times New Roman"/>
        </w:rPr>
        <w:t>diverse monitoring in some of their 911 service areas and have implemented alternative measures in all other 911 service areas.</w:t>
      </w:r>
      <w:r>
        <w:rPr>
          <w:rFonts w:ascii="Times New Roman" w:eastAsia="Times New Roman" w:hAnsi="Times New Roman" w:cs="Times New Roman"/>
          <w:vertAlign w:val="superscript"/>
        </w:rPr>
        <w:footnoteReference w:id="11"/>
      </w:r>
    </w:p>
    <w:p w:rsidR="00A9207F" w:rsidRPr="00A9207F" w:rsidP="00F42858" w14:paraId="5A229407" w14:textId="77777777">
      <w:pPr>
        <w:spacing w:after="0"/>
        <w:rPr>
          <w:rFonts w:ascii="Times New Roman" w:hAnsi="Times New Roman" w:cs="Times New Roman"/>
        </w:rPr>
      </w:pPr>
    </w:p>
    <w:p w:rsidR="00A9207F" w:rsidRPr="00A9207F" w:rsidP="00F42858" w14:paraId="7B95A97B" w14:textId="77777777">
      <w:pPr>
        <w:spacing w:after="0"/>
        <w:rPr>
          <w:rFonts w:ascii="Times New Roman" w:hAnsi="Times New Roman" w:cs="Times New Roman"/>
        </w:rPr>
      </w:pPr>
      <w:r w:rsidRPr="00A9207F">
        <w:rPr>
          <w:rFonts w:ascii="Times New Roman" w:hAnsi="Times New Roman" w:cs="Times New Roman"/>
        </w:rPr>
        <w:t xml:space="preserve">As Figure 1 below illustrates, covered entities certified </w:t>
      </w:r>
      <w:r w:rsidR="00326812">
        <w:rPr>
          <w:rFonts w:ascii="Times New Roman" w:hAnsi="Times New Roman" w:cs="Times New Roman"/>
        </w:rPr>
        <w:t>as to the status of their</w:t>
      </w:r>
      <w:r w:rsidRPr="00A9207F">
        <w:rPr>
          <w:rFonts w:ascii="Times New Roman" w:hAnsi="Times New Roman" w:cs="Times New Roman"/>
        </w:rPr>
        <w:t xml:space="preserve"> critical 911 circuits, central office backup power, and 911 service areas, </w:t>
      </w:r>
      <w:r w:rsidR="00326812">
        <w:rPr>
          <w:rFonts w:ascii="Times New Roman" w:hAnsi="Times New Roman" w:cs="Times New Roman"/>
        </w:rPr>
        <w:t>and/</w:t>
      </w:r>
      <w:r w:rsidRPr="00A9207F">
        <w:rPr>
          <w:rFonts w:ascii="Times New Roman" w:hAnsi="Times New Roman" w:cs="Times New Roman"/>
        </w:rPr>
        <w:t xml:space="preserve">or alternative measures.  </w:t>
      </w:r>
    </w:p>
    <w:p w:rsidR="00A9207F" w:rsidP="00F42858" w14:paraId="3793C4D3" w14:textId="77777777">
      <w:pPr>
        <w:spacing w:after="0"/>
        <w:rPr>
          <w:rFonts w:ascii="Times New Roman" w:hAnsi="Times New Roman" w:cs="Times New Roman"/>
        </w:rPr>
      </w:pPr>
    </w:p>
    <w:p w:rsidR="00EF701F" w:rsidP="008E0018" w14:paraId="3AF2B748" w14:textId="77777777">
      <w:pPr>
        <w:spacing w:after="0"/>
        <w:jc w:val="center"/>
        <w:rPr>
          <w:rFonts w:ascii="Times New Roman" w:hAnsi="Times New Roman"/>
        </w:rPr>
      </w:pPr>
    </w:p>
    <w:p w:rsidR="007E105A" w:rsidRPr="001A4989" w:rsidP="008E0018" w14:paraId="0C6E1CD3" w14:textId="77777777">
      <w:pPr>
        <w:spacing w:after="0"/>
        <w:jc w:val="center"/>
        <w:rPr>
          <w:rFonts w:ascii="Times New Roman" w:hAnsi="Times New Roman"/>
        </w:rPr>
      </w:pPr>
      <w:r>
        <w:rPr>
          <w:rFonts w:ascii="Times New Roman" w:hAnsi="Times New Roman"/>
          <w:noProof/>
        </w:rPr>
        <w:drawing>
          <wp:inline distT="0" distB="0" distL="0" distR="0">
            <wp:extent cx="4987954" cy="3562184"/>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58656" name="Picture 6"/>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4995217" cy="3567371"/>
                    </a:xfrm>
                    <a:prstGeom prst="rect">
                      <a:avLst/>
                    </a:prstGeom>
                    <a:noFill/>
                  </pic:spPr>
                </pic:pic>
              </a:graphicData>
            </a:graphic>
          </wp:inline>
        </w:drawing>
      </w:r>
    </w:p>
    <w:p w:rsidR="000506C7" w:rsidRPr="00A9207F" w:rsidP="00A9207F" w14:paraId="7754920E" w14:textId="77777777">
      <w:pPr>
        <w:pStyle w:val="Caption"/>
        <w:rPr>
          <w:rFonts w:ascii="Times New Roman" w:hAnsi="Times New Roman"/>
        </w:rPr>
      </w:pPr>
      <w:bookmarkStart w:id="3" w:name="_Toc436202610"/>
      <w:bookmarkStart w:id="4" w:name="_Toc505948370"/>
      <w:bookmarkStart w:id="5" w:name="_Toc513124052"/>
      <w:r w:rsidRPr="001A4989">
        <w:rPr>
          <w:rFonts w:ascii="Times New Roman" w:hAnsi="Times New Roman"/>
        </w:rPr>
        <w:t xml:space="preserve">Figure </w:t>
      </w:r>
      <w:r w:rsidRPr="001A4989" w:rsidR="00646994">
        <w:rPr>
          <w:rFonts w:ascii="Times New Roman" w:hAnsi="Times New Roman"/>
        </w:rPr>
        <w:fldChar w:fldCharType="begin"/>
      </w:r>
      <w:r w:rsidRPr="001A4989" w:rsidR="00646994">
        <w:rPr>
          <w:rFonts w:ascii="Times New Roman" w:hAnsi="Times New Roman"/>
        </w:rPr>
        <w:instrText xml:space="preserve"> SEQ Figure \* ARABIC </w:instrText>
      </w:r>
      <w:r w:rsidRPr="001A4989" w:rsidR="00646994">
        <w:rPr>
          <w:rFonts w:ascii="Times New Roman" w:hAnsi="Times New Roman"/>
        </w:rPr>
        <w:fldChar w:fldCharType="separate"/>
      </w:r>
      <w:r w:rsidR="00694E5D">
        <w:rPr>
          <w:rFonts w:ascii="Times New Roman" w:hAnsi="Times New Roman"/>
          <w:noProof/>
        </w:rPr>
        <w:t>1</w:t>
      </w:r>
      <w:r w:rsidRPr="001A4989" w:rsidR="00646994">
        <w:rPr>
          <w:rFonts w:ascii="Times New Roman" w:hAnsi="Times New Roman"/>
        </w:rPr>
        <w:fldChar w:fldCharType="end"/>
      </w:r>
      <w:r w:rsidRPr="001A4989">
        <w:rPr>
          <w:rFonts w:ascii="Times New Roman" w:hAnsi="Times New Roman"/>
        </w:rPr>
        <w:t>: Overall Responses to 911 Certifications</w:t>
      </w:r>
      <w:bookmarkEnd w:id="3"/>
      <w:bookmarkEnd w:id="4"/>
      <w:bookmarkEnd w:id="5"/>
    </w:p>
    <w:p w:rsidR="000506C7" w:rsidRPr="000506C7" w:rsidP="000506C7" w14:paraId="02742743" w14:textId="77777777"/>
    <w:p w:rsidR="007769EC" w:rsidRPr="001A4989" w:rsidP="00C97710" w14:paraId="3D12F8B3" w14:textId="77777777">
      <w:pPr>
        <w:pStyle w:val="Heading2"/>
        <w:numPr>
          <w:ilvl w:val="0"/>
          <w:numId w:val="10"/>
        </w:numPr>
        <w:ind w:left="720"/>
        <w:rPr>
          <w:rFonts w:ascii="Times New Roman" w:hAnsi="Times New Roman"/>
          <w:sz w:val="28"/>
        </w:rPr>
      </w:pPr>
      <w:bookmarkStart w:id="6" w:name="_Toc513123978"/>
      <w:r w:rsidRPr="001A4989">
        <w:rPr>
          <w:rFonts w:ascii="Times New Roman" w:hAnsi="Times New Roman"/>
          <w:sz w:val="28"/>
        </w:rPr>
        <w:t xml:space="preserve">911 </w:t>
      </w:r>
      <w:r w:rsidRPr="001A4989" w:rsidR="004B6D7A">
        <w:rPr>
          <w:rFonts w:ascii="Times New Roman" w:hAnsi="Times New Roman"/>
          <w:sz w:val="28"/>
        </w:rPr>
        <w:t>Circuit Diversity</w:t>
      </w:r>
      <w:bookmarkEnd w:id="6"/>
    </w:p>
    <w:p w:rsidR="00CB0341" w:rsidRPr="001A4989" w:rsidP="008F3DE6" w14:paraId="1BDBD02F" w14:textId="77777777">
      <w:pPr>
        <w:rPr>
          <w:rFonts w:ascii="Times New Roman" w:hAnsi="Times New Roman"/>
        </w:rPr>
      </w:pPr>
      <w:r w:rsidRPr="001A4989">
        <w:rPr>
          <w:rFonts w:ascii="Times New Roman" w:hAnsi="Times New Roman"/>
        </w:rPr>
        <w:t xml:space="preserve">The </w:t>
      </w:r>
      <w:r w:rsidRPr="001A4989" w:rsidR="00167596">
        <w:rPr>
          <w:rFonts w:ascii="Times New Roman" w:hAnsi="Times New Roman"/>
        </w:rPr>
        <w:t xml:space="preserve">Commission’s rules </w:t>
      </w:r>
      <w:r w:rsidRPr="001A4989">
        <w:rPr>
          <w:rFonts w:ascii="Times New Roman" w:hAnsi="Times New Roman"/>
        </w:rPr>
        <w:t>require</w:t>
      </w:r>
      <w:r w:rsidRPr="001A4989" w:rsidR="008D5D98">
        <w:rPr>
          <w:rFonts w:ascii="Times New Roman" w:hAnsi="Times New Roman"/>
        </w:rPr>
        <w:t xml:space="preserve"> </w:t>
      </w:r>
      <w:r w:rsidRPr="001A4989" w:rsidR="009E7D70">
        <w:rPr>
          <w:rFonts w:ascii="Times New Roman" w:hAnsi="Times New Roman"/>
        </w:rPr>
        <w:t>covered entities</w:t>
      </w:r>
      <w:r w:rsidRPr="001A4989">
        <w:rPr>
          <w:rFonts w:ascii="Times New Roman" w:hAnsi="Times New Roman"/>
        </w:rPr>
        <w:t xml:space="preserve"> to indicate </w:t>
      </w:r>
      <w:r w:rsidRPr="001A4989" w:rsidR="000E26B3">
        <w:rPr>
          <w:rFonts w:ascii="Times New Roman" w:hAnsi="Times New Roman"/>
        </w:rPr>
        <w:t xml:space="preserve">whether </w:t>
      </w:r>
      <w:r w:rsidRPr="001A4989">
        <w:rPr>
          <w:rFonts w:ascii="Times New Roman" w:hAnsi="Times New Roman"/>
        </w:rPr>
        <w:t>they have conducted diversity audits of critical 911 circuits or equivalent data paths to any PSAP</w:t>
      </w:r>
      <w:r w:rsidRPr="001A4989" w:rsidR="0048265F">
        <w:rPr>
          <w:rFonts w:ascii="Times New Roman" w:hAnsi="Times New Roman"/>
        </w:rPr>
        <w:t>s</w:t>
      </w:r>
      <w:r w:rsidRPr="001A4989">
        <w:rPr>
          <w:rFonts w:ascii="Times New Roman" w:hAnsi="Times New Roman"/>
        </w:rPr>
        <w:t xml:space="preserve"> that they serve.</w:t>
      </w:r>
      <w:r>
        <w:rPr>
          <w:rStyle w:val="FootnoteReference"/>
          <w:rFonts w:ascii="Times New Roman" w:hAnsi="Times New Roman"/>
        </w:rPr>
        <w:footnoteReference w:id="12"/>
      </w:r>
      <w:r w:rsidRPr="001A4989">
        <w:rPr>
          <w:rFonts w:ascii="Times New Roman" w:hAnsi="Times New Roman"/>
        </w:rPr>
        <w:t xml:space="preserve">  </w:t>
      </w:r>
      <w:r w:rsidRPr="001A4989" w:rsidR="008D5D98">
        <w:rPr>
          <w:rFonts w:ascii="Times New Roman" w:hAnsi="Times New Roman"/>
        </w:rPr>
        <w:t>The</w:t>
      </w:r>
      <w:r w:rsidRPr="001A4989" w:rsidR="00F150E3">
        <w:rPr>
          <w:rFonts w:ascii="Times New Roman" w:hAnsi="Times New Roman"/>
        </w:rPr>
        <w:t>y</w:t>
      </w:r>
      <w:r w:rsidRPr="001A4989">
        <w:rPr>
          <w:rFonts w:ascii="Times New Roman" w:hAnsi="Times New Roman"/>
        </w:rPr>
        <w:t xml:space="preserve"> must further certify </w:t>
      </w:r>
      <w:r w:rsidRPr="001A4989" w:rsidR="000E26B3">
        <w:rPr>
          <w:rFonts w:ascii="Times New Roman" w:hAnsi="Times New Roman"/>
        </w:rPr>
        <w:t xml:space="preserve">whether </w:t>
      </w:r>
      <w:r w:rsidRPr="001A4989">
        <w:rPr>
          <w:rFonts w:ascii="Times New Roman" w:hAnsi="Times New Roman"/>
        </w:rPr>
        <w:t xml:space="preserve">they have </w:t>
      </w:r>
      <w:r w:rsidRPr="001A4989" w:rsidR="002E03B8">
        <w:rPr>
          <w:rFonts w:ascii="Times New Roman" w:hAnsi="Times New Roman"/>
        </w:rPr>
        <w:t>marked or labelled (“</w:t>
      </w:r>
      <w:r w:rsidRPr="001A4989">
        <w:rPr>
          <w:rFonts w:ascii="Times New Roman" w:hAnsi="Times New Roman"/>
        </w:rPr>
        <w:t>tagged</w:t>
      </w:r>
      <w:r w:rsidRPr="001A4989" w:rsidR="002E03B8">
        <w:rPr>
          <w:rFonts w:ascii="Times New Roman" w:hAnsi="Times New Roman"/>
        </w:rPr>
        <w:t>”)</w:t>
      </w:r>
      <w:r w:rsidRPr="001A4989">
        <w:rPr>
          <w:rFonts w:ascii="Times New Roman" w:hAnsi="Times New Roman"/>
        </w:rPr>
        <w:t xml:space="preserve"> </w:t>
      </w:r>
      <w:r w:rsidRPr="001A4989" w:rsidR="002E03B8">
        <w:rPr>
          <w:rFonts w:ascii="Times New Roman" w:hAnsi="Times New Roman"/>
        </w:rPr>
        <w:t xml:space="preserve">critical </w:t>
      </w:r>
      <w:r w:rsidRPr="001A4989" w:rsidR="00F477EF">
        <w:rPr>
          <w:rFonts w:ascii="Times New Roman" w:hAnsi="Times New Roman"/>
        </w:rPr>
        <w:t>911 circuits</w:t>
      </w:r>
      <w:r w:rsidRPr="001A4989" w:rsidR="00CB1441">
        <w:rPr>
          <w:rFonts w:ascii="Times New Roman" w:hAnsi="Times New Roman"/>
        </w:rPr>
        <w:t xml:space="preserve"> to reduce inadvertent loss of diversity to these circuits when </w:t>
      </w:r>
      <w:r w:rsidRPr="001A4989" w:rsidR="00F150E3">
        <w:rPr>
          <w:rFonts w:ascii="Times New Roman" w:hAnsi="Times New Roman"/>
        </w:rPr>
        <w:t>they</w:t>
      </w:r>
      <w:r w:rsidRPr="001A4989" w:rsidR="00CB1441">
        <w:rPr>
          <w:rFonts w:ascii="Times New Roman" w:hAnsi="Times New Roman"/>
        </w:rPr>
        <w:t xml:space="preserve"> rearrange their network connections.</w:t>
      </w:r>
      <w:r>
        <w:rPr>
          <w:rStyle w:val="FootnoteReference"/>
          <w:rFonts w:ascii="Times New Roman" w:hAnsi="Times New Roman"/>
        </w:rPr>
        <w:footnoteReference w:id="13"/>
      </w:r>
      <w:r w:rsidRPr="001A4989">
        <w:rPr>
          <w:rFonts w:ascii="Times New Roman" w:hAnsi="Times New Roman"/>
        </w:rPr>
        <w:t xml:space="preserve"> </w:t>
      </w:r>
      <w:r w:rsidRPr="001A4989" w:rsidR="00CB1441">
        <w:rPr>
          <w:rFonts w:ascii="Times New Roman" w:hAnsi="Times New Roman"/>
        </w:rPr>
        <w:t xml:space="preserve"> Additionally,</w:t>
      </w:r>
      <w:r w:rsidRPr="001A4989">
        <w:rPr>
          <w:rFonts w:ascii="Times New Roman" w:hAnsi="Times New Roman"/>
        </w:rPr>
        <w:t xml:space="preserve"> </w:t>
      </w:r>
      <w:r w:rsidRPr="001A4989" w:rsidR="008D5D98">
        <w:rPr>
          <w:rFonts w:ascii="Times New Roman" w:hAnsi="Times New Roman"/>
        </w:rPr>
        <w:t xml:space="preserve">these </w:t>
      </w:r>
      <w:r w:rsidRPr="001A4989" w:rsidR="009E7D70">
        <w:rPr>
          <w:rFonts w:ascii="Times New Roman" w:hAnsi="Times New Roman"/>
        </w:rPr>
        <w:t>covered entities</w:t>
      </w:r>
      <w:r w:rsidRPr="001A4989" w:rsidR="00CB1441">
        <w:rPr>
          <w:rFonts w:ascii="Times New Roman" w:hAnsi="Times New Roman"/>
        </w:rPr>
        <w:t xml:space="preserve"> must certify </w:t>
      </w:r>
      <w:r w:rsidRPr="001A4989" w:rsidR="000E26B3">
        <w:rPr>
          <w:rFonts w:ascii="Times New Roman" w:hAnsi="Times New Roman"/>
        </w:rPr>
        <w:t xml:space="preserve">whether </w:t>
      </w:r>
      <w:r w:rsidRPr="001A4989">
        <w:rPr>
          <w:rFonts w:ascii="Times New Roman" w:hAnsi="Times New Roman"/>
        </w:rPr>
        <w:t>they have eliminated all single points of failure in critical 911 circuits serving each PSAP.</w:t>
      </w:r>
      <w:r>
        <w:rPr>
          <w:rStyle w:val="FootnoteReference"/>
          <w:rFonts w:ascii="Times New Roman" w:hAnsi="Times New Roman"/>
        </w:rPr>
        <w:footnoteReference w:id="14"/>
      </w:r>
      <w:r w:rsidRPr="001A4989">
        <w:rPr>
          <w:rFonts w:ascii="Times New Roman" w:hAnsi="Times New Roman"/>
        </w:rPr>
        <w:t xml:space="preserve">  </w:t>
      </w:r>
      <w:r w:rsidRPr="001A4989" w:rsidR="009E7D70">
        <w:rPr>
          <w:rFonts w:ascii="Times New Roman" w:hAnsi="Times New Roman"/>
        </w:rPr>
        <w:t>Covered entities</w:t>
      </w:r>
      <w:r w:rsidRPr="001A4989">
        <w:rPr>
          <w:rFonts w:ascii="Times New Roman" w:hAnsi="Times New Roman"/>
        </w:rPr>
        <w:t xml:space="preserve"> that do </w:t>
      </w:r>
      <w:r w:rsidRPr="001A4989" w:rsidR="00347CEE">
        <w:rPr>
          <w:rFonts w:ascii="Times New Roman" w:hAnsi="Times New Roman"/>
        </w:rPr>
        <w:t xml:space="preserve">not certify that they have diverse circuits must certify </w:t>
      </w:r>
      <w:r w:rsidRPr="001A4989" w:rsidR="000E26B3">
        <w:rPr>
          <w:rFonts w:ascii="Times New Roman" w:hAnsi="Times New Roman"/>
        </w:rPr>
        <w:t xml:space="preserve">whether </w:t>
      </w:r>
      <w:r w:rsidRPr="001A4989" w:rsidR="00347CEE">
        <w:rPr>
          <w:rFonts w:ascii="Times New Roman" w:hAnsi="Times New Roman"/>
        </w:rPr>
        <w:t>they have</w:t>
      </w:r>
      <w:r w:rsidRPr="001A4989" w:rsidR="00C9361A">
        <w:rPr>
          <w:rFonts w:ascii="Times New Roman" w:hAnsi="Times New Roman"/>
        </w:rPr>
        <w:t xml:space="preserve"> </w:t>
      </w:r>
      <w:r w:rsidR="00C9361A">
        <w:rPr>
          <w:rFonts w:ascii="Times New Roman" w:hAnsi="Times New Roman" w:cs="Times New Roman"/>
        </w:rPr>
        <w:t>implemented</w:t>
      </w:r>
      <w:r w:rsidRPr="001A4989" w:rsidR="00C9361A">
        <w:rPr>
          <w:rFonts w:ascii="Times New Roman" w:hAnsi="Times New Roman"/>
        </w:rPr>
        <w:t xml:space="preserve"> </w:t>
      </w:r>
      <w:r w:rsidRPr="001A4989" w:rsidR="00347CEE">
        <w:rPr>
          <w:rFonts w:ascii="Times New Roman" w:hAnsi="Times New Roman"/>
        </w:rPr>
        <w:t>alternative measures to mitigate the risk of a lack of physical diversity among critical 911 circuits</w:t>
      </w:r>
      <w:r w:rsidRPr="001A4989" w:rsidR="001546EA">
        <w:rPr>
          <w:rFonts w:ascii="Times New Roman" w:hAnsi="Times New Roman"/>
        </w:rPr>
        <w:t>, and must describe the alternative measures</w:t>
      </w:r>
      <w:r w:rsidRPr="001A4989" w:rsidR="00347CEE">
        <w:rPr>
          <w:rFonts w:ascii="Times New Roman" w:hAnsi="Times New Roman"/>
        </w:rPr>
        <w:t>.</w:t>
      </w:r>
      <w:r>
        <w:rPr>
          <w:rStyle w:val="FootnoteReference"/>
          <w:rFonts w:ascii="Times New Roman" w:hAnsi="Times New Roman"/>
        </w:rPr>
        <w:footnoteReference w:id="15"/>
      </w:r>
      <w:r w:rsidRPr="001A4989" w:rsidR="00347CEE">
        <w:rPr>
          <w:rFonts w:ascii="Times New Roman" w:hAnsi="Times New Roman"/>
        </w:rPr>
        <w:t xml:space="preserve"> </w:t>
      </w:r>
    </w:p>
    <w:p w:rsidR="00D82E5E" w:rsidRPr="001A4989" w:rsidP="00C97710" w14:paraId="5ACE6DCB" w14:textId="77777777">
      <w:pPr>
        <w:spacing w:after="0"/>
        <w:rPr>
          <w:rFonts w:ascii="Times New Roman" w:hAnsi="Times New Roman"/>
        </w:rPr>
      </w:pPr>
      <w:r w:rsidRPr="001A4989">
        <w:rPr>
          <w:rFonts w:ascii="Times New Roman" w:hAnsi="Times New Roman"/>
        </w:rPr>
        <w:t xml:space="preserve">The following table summarizes responses on 911 circuit diversity.  </w:t>
      </w:r>
      <w:r w:rsidRPr="001A4989" w:rsidR="003F38FF">
        <w:rPr>
          <w:rFonts w:ascii="Times New Roman" w:hAnsi="Times New Roman"/>
        </w:rPr>
        <w:t>As indicated in the</w:t>
      </w:r>
      <w:r w:rsidRPr="001A4989">
        <w:rPr>
          <w:rFonts w:ascii="Times New Roman" w:hAnsi="Times New Roman"/>
        </w:rPr>
        <w:t xml:space="preserve"> table</w:t>
      </w:r>
      <w:r w:rsidRPr="001A4989" w:rsidR="00E96139">
        <w:rPr>
          <w:rFonts w:ascii="Times New Roman" w:hAnsi="Times New Roman"/>
        </w:rPr>
        <w:t xml:space="preserve"> below</w:t>
      </w:r>
      <w:r w:rsidRPr="001A4989" w:rsidR="003F38FF">
        <w:rPr>
          <w:rFonts w:ascii="Times New Roman" w:hAnsi="Times New Roman"/>
        </w:rPr>
        <w:t>,</w:t>
      </w:r>
      <w:r w:rsidRPr="001A4989">
        <w:rPr>
          <w:rFonts w:ascii="Times New Roman" w:hAnsi="Times New Roman"/>
        </w:rPr>
        <w:t xml:space="preserve"> </w:t>
      </w:r>
      <w:r w:rsidRPr="001A4989" w:rsidR="00F433FC">
        <w:rPr>
          <w:rFonts w:ascii="Times New Roman" w:hAnsi="Times New Roman"/>
        </w:rPr>
        <w:t xml:space="preserve">about half of the </w:t>
      </w:r>
      <w:r w:rsidRPr="001A4989" w:rsidR="009E7D70">
        <w:rPr>
          <w:rFonts w:ascii="Times New Roman" w:hAnsi="Times New Roman"/>
        </w:rPr>
        <w:t>covered entities</w:t>
      </w:r>
      <w:r w:rsidRPr="001A4989" w:rsidR="00F433FC">
        <w:rPr>
          <w:rFonts w:ascii="Times New Roman" w:hAnsi="Times New Roman"/>
        </w:rPr>
        <w:t xml:space="preserve"> that filed certifications indicated that </w:t>
      </w:r>
      <w:r w:rsidRPr="001A4989">
        <w:rPr>
          <w:rFonts w:ascii="Times New Roman" w:hAnsi="Times New Roman"/>
        </w:rPr>
        <w:t xml:space="preserve">the circuit audit requirement </w:t>
      </w:r>
      <w:r w:rsidRPr="001A4989" w:rsidR="006A3FEF">
        <w:rPr>
          <w:rFonts w:ascii="Times New Roman" w:hAnsi="Times New Roman"/>
        </w:rPr>
        <w:t xml:space="preserve">did not apply </w:t>
      </w:r>
      <w:r w:rsidRPr="001A4989" w:rsidR="00F433FC">
        <w:rPr>
          <w:rFonts w:ascii="Times New Roman" w:hAnsi="Times New Roman"/>
        </w:rPr>
        <w:t>to them</w:t>
      </w:r>
      <w:r w:rsidRPr="001A4989" w:rsidR="009D05DE">
        <w:rPr>
          <w:rFonts w:ascii="Times New Roman" w:hAnsi="Times New Roman"/>
        </w:rPr>
        <w:t>.</w:t>
      </w:r>
      <w:r>
        <w:rPr>
          <w:rStyle w:val="FootnoteReference"/>
          <w:rFonts w:ascii="Times New Roman" w:hAnsi="Times New Roman"/>
        </w:rPr>
        <w:footnoteReference w:id="16"/>
      </w:r>
      <w:r w:rsidRPr="001A4989">
        <w:rPr>
          <w:rFonts w:ascii="Times New Roman" w:hAnsi="Times New Roman"/>
        </w:rPr>
        <w:t xml:space="preserve">  </w:t>
      </w:r>
    </w:p>
    <w:p w:rsidR="00F509C1" w:rsidRPr="001A4989" w:rsidP="00C97710" w14:paraId="3C56F2F7" w14:textId="77777777">
      <w:pPr>
        <w:spacing w:after="0"/>
        <w:rPr>
          <w:rFonts w:ascii="Times New Roman" w:hAnsi="Times New Roman"/>
        </w:rPr>
      </w:pP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240"/>
        <w:gridCol w:w="2340"/>
      </w:tblGrid>
      <w:tr w14:paraId="607BFBC1" w14:textId="77777777" w:rsidTr="003B2A61">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jc w:val="center"/>
        </w:trPr>
        <w:tc>
          <w:tcPr>
            <w:tcW w:w="3240" w:type="dxa"/>
          </w:tcPr>
          <w:p w:rsidR="00326CE6" w:rsidRPr="001A4989" w:rsidP="00D82E5E" w14:paraId="6EB3CEFC" w14:textId="77777777">
            <w:pPr>
              <w:spacing w:after="0" w:line="240" w:lineRule="auto"/>
              <w:jc w:val="center"/>
              <w:rPr>
                <w:rStyle w:val="DefaultParagraphFont"/>
                <w:rFonts w:ascii="Times New Roman" w:hAnsi="Times New Roman" w:eastAsiaTheme="minorHAnsi" w:cstheme="minorBidi"/>
                <w:b/>
                <w:sz w:val="22"/>
                <w:szCs w:val="22"/>
                <w:lang w:val="en-US" w:eastAsia="en-US" w:bidi="ar-SA"/>
              </w:rPr>
            </w:pPr>
            <w:r w:rsidRPr="001A4989">
              <w:rPr>
                <w:rFonts w:ascii="Times New Roman" w:hAnsi="Times New Roman" w:eastAsiaTheme="minorHAnsi" w:cstheme="minorBidi"/>
                <w:b/>
                <w:sz w:val="22"/>
                <w:szCs w:val="22"/>
                <w:lang w:val="en-US" w:eastAsia="en-US" w:bidi="ar-SA"/>
              </w:rPr>
              <w:t>911 Circuits Certified as Diverse</w:t>
            </w:r>
          </w:p>
        </w:tc>
        <w:tc>
          <w:tcPr>
            <w:tcW w:w="2340" w:type="dxa"/>
          </w:tcPr>
          <w:p w:rsidR="00326CE6" w:rsidRPr="001A4989" w:rsidP="0031529B" w14:paraId="031890E9" w14:textId="77777777">
            <w:pPr>
              <w:spacing w:after="0" w:line="240" w:lineRule="auto"/>
              <w:jc w:val="center"/>
              <w:rPr>
                <w:rStyle w:val="DefaultParagraphFont"/>
                <w:rFonts w:ascii="Times New Roman" w:hAnsi="Times New Roman" w:eastAsiaTheme="minorHAnsi" w:cstheme="minorBidi"/>
                <w:b/>
                <w:sz w:val="22"/>
                <w:szCs w:val="22"/>
                <w:lang w:val="en-US" w:eastAsia="en-US" w:bidi="ar-SA"/>
              </w:rPr>
            </w:pPr>
            <w:r w:rsidRPr="001A4989">
              <w:rPr>
                <w:rFonts w:ascii="Times New Roman" w:hAnsi="Times New Roman" w:eastAsiaTheme="minorHAnsi" w:cstheme="minorBidi"/>
                <w:b/>
                <w:sz w:val="22"/>
                <w:szCs w:val="22"/>
                <w:lang w:val="en-US" w:eastAsia="en-US" w:bidi="ar-SA"/>
              </w:rPr>
              <w:t xml:space="preserve">Number of </w:t>
            </w:r>
            <w:r w:rsidR="0031529B">
              <w:rPr>
                <w:rFonts w:ascii="Times New Roman" w:hAnsi="Times New Roman" w:eastAsiaTheme="minorHAnsi" w:cs="Times New Roman"/>
                <w:b/>
                <w:sz w:val="22"/>
                <w:szCs w:val="22"/>
                <w:lang w:val="en-US" w:eastAsia="en-US" w:bidi="ar-SA"/>
              </w:rPr>
              <w:t>Covered Entities</w:t>
            </w:r>
          </w:p>
        </w:tc>
      </w:tr>
      <w:tr w14:paraId="1DE19769" w14:textId="77777777" w:rsidTr="003B2A61">
        <w:tblPrEx>
          <w:tblW w:w="0" w:type="auto"/>
          <w:jc w:val="left"/>
          <w:tblInd w:w="0" w:type="dxa"/>
          <w:tblCellMar>
            <w:top w:w="0" w:type="dxa"/>
            <w:left w:w="108" w:type="dxa"/>
            <w:bottom w:w="0" w:type="dxa"/>
            <w:right w:w="108" w:type="dxa"/>
          </w:tblCellMar>
          <w:tblLook w:val="04A0"/>
        </w:tblPrEx>
        <w:trPr>
          <w:trHeight w:val="300"/>
          <w:jc w:val="left"/>
        </w:trPr>
        <w:tc>
          <w:tcPr>
            <w:tcW w:w="3240" w:type="dxa"/>
            <w:hideMark/>
          </w:tcPr>
          <w:p w:rsidR="003B2A61" w:rsidRPr="001A4989" w:rsidP="003B2A61" w14:paraId="0F761567" w14:textId="77777777">
            <w:pPr>
              <w:spacing w:after="0" w:line="240" w:lineRule="auto"/>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Yes for all PSAPs</w:t>
            </w:r>
          </w:p>
        </w:tc>
        <w:tc>
          <w:tcPr>
            <w:tcW w:w="2340" w:type="dxa"/>
            <w:hideMark/>
          </w:tcPr>
          <w:p w:rsidR="003B2A61" w:rsidRPr="001A4989" w:rsidP="003B2A61" w14:paraId="401FC551" w14:textId="77777777">
            <w:pPr>
              <w:spacing w:after="0" w:line="240" w:lineRule="auto"/>
              <w:jc w:val="right"/>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48</w:t>
            </w:r>
          </w:p>
        </w:tc>
      </w:tr>
      <w:tr w14:paraId="27245BBE" w14:textId="77777777" w:rsidTr="003B2A61">
        <w:tblPrEx>
          <w:tblW w:w="0" w:type="auto"/>
          <w:jc w:val="left"/>
          <w:tblInd w:w="0" w:type="dxa"/>
          <w:tblCellMar>
            <w:top w:w="0" w:type="dxa"/>
            <w:left w:w="108" w:type="dxa"/>
            <w:bottom w:w="0" w:type="dxa"/>
            <w:right w:w="108" w:type="dxa"/>
          </w:tblCellMar>
          <w:tblLook w:val="04A0"/>
        </w:tblPrEx>
        <w:trPr>
          <w:trHeight w:val="780"/>
          <w:jc w:val="left"/>
        </w:trPr>
        <w:tc>
          <w:tcPr>
            <w:tcW w:w="3240" w:type="dxa"/>
            <w:hideMark/>
          </w:tcPr>
          <w:p w:rsidR="003B2A61" w:rsidRPr="001A4989" w:rsidP="003B2A61" w14:paraId="727A4898" w14:textId="77777777">
            <w:pPr>
              <w:spacing w:after="0" w:line="240" w:lineRule="auto"/>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Yes for some PSAPs</w:t>
            </w:r>
            <w:r w:rsidRPr="001A4989" w:rsidR="00B75D60">
              <w:rPr>
                <w:rFonts w:ascii="Times New Roman" w:hAnsi="Times New Roman" w:eastAsiaTheme="minorHAnsi" w:cstheme="minorBidi"/>
                <w:color w:val="000000"/>
                <w:sz w:val="20"/>
                <w:szCs w:val="22"/>
                <w:lang w:val="en-US" w:eastAsia="en-US" w:bidi="ar-SA"/>
              </w:rPr>
              <w:t>,</w:t>
            </w:r>
            <w:r w:rsidRPr="001A4989">
              <w:rPr>
                <w:rFonts w:ascii="Times New Roman" w:hAnsi="Times New Roman" w:eastAsiaTheme="minorHAnsi" w:cstheme="minorBidi"/>
                <w:color w:val="000000"/>
                <w:sz w:val="20"/>
                <w:szCs w:val="22"/>
                <w:lang w:val="en-US" w:eastAsia="en-US" w:bidi="ar-SA"/>
              </w:rPr>
              <w:t xml:space="preserve"> but alternative measures for other PSAPs</w:t>
            </w:r>
          </w:p>
        </w:tc>
        <w:tc>
          <w:tcPr>
            <w:tcW w:w="2340" w:type="dxa"/>
            <w:hideMark/>
          </w:tcPr>
          <w:p w:rsidR="003B2A61" w:rsidRPr="001A4989" w:rsidP="003B2A61" w14:paraId="583FEAED" w14:textId="77777777">
            <w:pPr>
              <w:spacing w:after="0" w:line="240" w:lineRule="auto"/>
              <w:jc w:val="right"/>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15</w:t>
            </w:r>
          </w:p>
        </w:tc>
      </w:tr>
      <w:tr w14:paraId="1EF50FEF" w14:textId="77777777" w:rsidTr="003B2A61">
        <w:tblPrEx>
          <w:tblW w:w="0" w:type="auto"/>
          <w:jc w:val="left"/>
          <w:tblInd w:w="0" w:type="dxa"/>
          <w:tblCellMar>
            <w:top w:w="0" w:type="dxa"/>
            <w:left w:w="108" w:type="dxa"/>
            <w:bottom w:w="0" w:type="dxa"/>
            <w:right w:w="108" w:type="dxa"/>
          </w:tblCellMar>
          <w:tblLook w:val="04A0"/>
        </w:tblPrEx>
        <w:trPr>
          <w:trHeight w:val="525"/>
          <w:jc w:val="left"/>
        </w:trPr>
        <w:tc>
          <w:tcPr>
            <w:tcW w:w="3240" w:type="dxa"/>
            <w:hideMark/>
          </w:tcPr>
          <w:p w:rsidR="003B2A61" w:rsidRPr="001A4989" w:rsidP="003B2A61" w14:paraId="38E0531A" w14:textId="77777777">
            <w:pPr>
              <w:spacing w:after="0" w:line="240" w:lineRule="auto"/>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No, but alternative measures for all audited PSAPs</w:t>
            </w:r>
          </w:p>
        </w:tc>
        <w:tc>
          <w:tcPr>
            <w:tcW w:w="2340" w:type="dxa"/>
            <w:hideMark/>
          </w:tcPr>
          <w:p w:rsidR="003B2A61" w:rsidRPr="001A4989" w:rsidP="003B2A61" w14:paraId="10E0E670" w14:textId="77777777">
            <w:pPr>
              <w:spacing w:after="0" w:line="240" w:lineRule="auto"/>
              <w:jc w:val="right"/>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20</w:t>
            </w:r>
          </w:p>
        </w:tc>
      </w:tr>
      <w:tr w14:paraId="37795E09" w14:textId="77777777" w:rsidTr="003B2A61">
        <w:tblPrEx>
          <w:tblW w:w="0" w:type="auto"/>
          <w:jc w:val="left"/>
          <w:tblInd w:w="0" w:type="dxa"/>
          <w:tblCellMar>
            <w:top w:w="0" w:type="dxa"/>
            <w:left w:w="108" w:type="dxa"/>
            <w:bottom w:w="0" w:type="dxa"/>
            <w:right w:w="108" w:type="dxa"/>
          </w:tblCellMar>
          <w:tblLook w:val="04A0"/>
        </w:tblPrEx>
        <w:trPr>
          <w:trHeight w:val="300"/>
          <w:jc w:val="left"/>
        </w:trPr>
        <w:tc>
          <w:tcPr>
            <w:tcW w:w="3240" w:type="dxa"/>
            <w:hideMark/>
          </w:tcPr>
          <w:p w:rsidR="003B2A61" w:rsidRPr="001A4989" w:rsidP="003B2A61" w14:paraId="3A7114F9" w14:textId="77777777">
            <w:pPr>
              <w:spacing w:after="0" w:line="240" w:lineRule="auto"/>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No</w:t>
            </w:r>
          </w:p>
        </w:tc>
        <w:tc>
          <w:tcPr>
            <w:tcW w:w="2340" w:type="dxa"/>
            <w:hideMark/>
          </w:tcPr>
          <w:p w:rsidR="003B2A61" w:rsidRPr="001A4989" w:rsidP="003B2A61" w14:paraId="1F3E636F" w14:textId="77777777">
            <w:pPr>
              <w:spacing w:after="0" w:line="240" w:lineRule="auto"/>
              <w:jc w:val="right"/>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14</w:t>
            </w:r>
            <w:r>
              <w:rPr>
                <w:rStyle w:val="FootnoteReference"/>
                <w:rFonts w:ascii="Times New Roman" w:hAnsi="Times New Roman"/>
                <w:color w:val="000000"/>
                <w:sz w:val="20"/>
              </w:rPr>
              <w:footnoteReference w:id="17"/>
            </w:r>
          </w:p>
        </w:tc>
      </w:tr>
      <w:tr w14:paraId="0F12F23E" w14:textId="77777777" w:rsidTr="001A4989">
        <w:tblPrEx>
          <w:tblW w:w="0" w:type="auto"/>
          <w:jc w:val="left"/>
          <w:tblInd w:w="0" w:type="dxa"/>
          <w:tblCellMar>
            <w:top w:w="0" w:type="dxa"/>
            <w:left w:w="108" w:type="dxa"/>
            <w:bottom w:w="0" w:type="dxa"/>
            <w:right w:w="108" w:type="dxa"/>
          </w:tblCellMar>
          <w:tblLook w:val="04A0"/>
        </w:tblPrEx>
        <w:trPr>
          <w:trHeight w:val="70"/>
          <w:jc w:val="left"/>
        </w:trPr>
        <w:tc>
          <w:tcPr>
            <w:tcW w:w="3240" w:type="dxa"/>
            <w:hideMark/>
          </w:tcPr>
          <w:p w:rsidR="003B2A61" w:rsidRPr="001A4989" w:rsidP="003B2A61" w14:paraId="46194866" w14:textId="77777777">
            <w:pPr>
              <w:spacing w:after="0" w:line="240" w:lineRule="auto"/>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Not applicable</w:t>
            </w:r>
          </w:p>
        </w:tc>
        <w:tc>
          <w:tcPr>
            <w:tcW w:w="2340" w:type="dxa"/>
            <w:hideMark/>
          </w:tcPr>
          <w:p w:rsidR="003B2A61" w:rsidRPr="001A4989" w:rsidP="003B2A61" w14:paraId="52FB55AF" w14:textId="77777777">
            <w:pPr>
              <w:spacing w:after="0" w:line="240" w:lineRule="auto"/>
              <w:jc w:val="right"/>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91</w:t>
            </w:r>
          </w:p>
        </w:tc>
      </w:tr>
      <w:tr w14:paraId="7C37BBC9" w14:textId="77777777" w:rsidTr="003B2A61">
        <w:tblPrEx>
          <w:tblW w:w="0" w:type="auto"/>
          <w:jc w:val="left"/>
          <w:tblInd w:w="0" w:type="dxa"/>
          <w:tblCellMar>
            <w:top w:w="0" w:type="dxa"/>
            <w:left w:w="108" w:type="dxa"/>
            <w:bottom w:w="0" w:type="dxa"/>
            <w:right w:w="108" w:type="dxa"/>
          </w:tblCellMar>
          <w:tblLook w:val="04A0"/>
        </w:tblPrEx>
        <w:trPr>
          <w:trHeight w:val="300"/>
          <w:jc w:val="left"/>
        </w:trPr>
        <w:tc>
          <w:tcPr>
            <w:tcW w:w="3240" w:type="dxa"/>
            <w:hideMark/>
          </w:tcPr>
          <w:p w:rsidR="003B2A61" w:rsidRPr="001A4989" w:rsidP="003B2A61" w14:paraId="64E3FBEE" w14:textId="77777777">
            <w:pPr>
              <w:spacing w:after="0" w:line="240" w:lineRule="auto"/>
              <w:rPr>
                <w:rStyle w:val="DefaultParagraphFont"/>
                <w:rFonts w:ascii="Times New Roman" w:hAnsi="Times New Roman" w:eastAsiaTheme="minorHAnsi" w:cstheme="minorBidi"/>
                <w:b/>
                <w:color w:val="000000"/>
                <w:sz w:val="20"/>
                <w:szCs w:val="22"/>
                <w:lang w:val="en-US" w:eastAsia="en-US" w:bidi="ar-SA"/>
              </w:rPr>
            </w:pPr>
            <w:r w:rsidRPr="001A4989">
              <w:rPr>
                <w:rFonts w:ascii="Times New Roman" w:hAnsi="Times New Roman" w:eastAsiaTheme="minorHAnsi" w:cstheme="minorBidi"/>
                <w:b/>
                <w:color w:val="000000"/>
                <w:sz w:val="20"/>
                <w:szCs w:val="22"/>
                <w:lang w:val="en-US" w:eastAsia="en-US" w:bidi="ar-SA"/>
              </w:rPr>
              <w:t>Total</w:t>
            </w:r>
          </w:p>
        </w:tc>
        <w:tc>
          <w:tcPr>
            <w:tcW w:w="2340" w:type="dxa"/>
            <w:noWrap/>
            <w:hideMark/>
          </w:tcPr>
          <w:p w:rsidR="003B2A61" w:rsidRPr="001A4989" w:rsidP="003B2A61" w14:paraId="1944B746" w14:textId="77777777">
            <w:pPr>
              <w:spacing w:after="0" w:line="240" w:lineRule="auto"/>
              <w:jc w:val="right"/>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188</w:t>
            </w:r>
          </w:p>
        </w:tc>
      </w:tr>
    </w:tbl>
    <w:p w:rsidR="00D82E5E" w:rsidRPr="001A4989" w:rsidP="00D47B8B" w14:paraId="012C198A" w14:textId="77777777">
      <w:pPr>
        <w:pStyle w:val="Caption"/>
        <w:rPr>
          <w:rFonts w:ascii="Times New Roman" w:hAnsi="Times New Roman"/>
        </w:rPr>
      </w:pPr>
      <w:bookmarkStart w:id="7" w:name="_Toc469323582"/>
      <w:bookmarkStart w:id="8" w:name="_Toc505948359"/>
      <w:bookmarkStart w:id="9" w:name="_Toc513124068"/>
      <w:r w:rsidRPr="001A4989">
        <w:rPr>
          <w:rFonts w:ascii="Times New Roman" w:hAnsi="Times New Roman"/>
        </w:rPr>
        <w:t xml:space="preserve">Table </w:t>
      </w:r>
      <w:r w:rsidRPr="001A4989" w:rsidR="00646994">
        <w:rPr>
          <w:rFonts w:ascii="Times New Roman" w:hAnsi="Times New Roman"/>
        </w:rPr>
        <w:fldChar w:fldCharType="begin"/>
      </w:r>
      <w:r w:rsidRPr="001A4989" w:rsidR="00646994">
        <w:rPr>
          <w:rFonts w:ascii="Times New Roman" w:hAnsi="Times New Roman"/>
        </w:rPr>
        <w:instrText xml:space="preserve"> SEQ Table \* ARABIC </w:instrText>
      </w:r>
      <w:r w:rsidRPr="001A4989" w:rsidR="00646994">
        <w:rPr>
          <w:rFonts w:ascii="Times New Roman" w:hAnsi="Times New Roman"/>
        </w:rPr>
        <w:fldChar w:fldCharType="separate"/>
      </w:r>
      <w:r w:rsidR="00694E5D">
        <w:rPr>
          <w:rFonts w:ascii="Times New Roman" w:hAnsi="Times New Roman"/>
          <w:noProof/>
        </w:rPr>
        <w:t>1</w:t>
      </w:r>
      <w:r w:rsidRPr="001A4989" w:rsidR="00646994">
        <w:rPr>
          <w:rFonts w:ascii="Times New Roman" w:hAnsi="Times New Roman"/>
        </w:rPr>
        <w:fldChar w:fldCharType="end"/>
      </w:r>
      <w:r w:rsidRPr="001A4989">
        <w:rPr>
          <w:rFonts w:ascii="Times New Roman" w:hAnsi="Times New Roman"/>
        </w:rPr>
        <w:t xml:space="preserve">: </w:t>
      </w:r>
      <w:r w:rsidRPr="001A4989">
        <w:rPr>
          <w:rFonts w:ascii="Times New Roman" w:hAnsi="Times New Roman"/>
        </w:rPr>
        <w:t>Overall Certification - Circuit Audit Results</w:t>
      </w:r>
      <w:bookmarkEnd w:id="7"/>
      <w:bookmarkEnd w:id="8"/>
      <w:bookmarkEnd w:id="9"/>
    </w:p>
    <w:p w:rsidR="008D5064" w:rsidRPr="001A4989" w:rsidP="00E81820" w14:paraId="13DC7F01" w14:textId="77777777">
      <w:pPr>
        <w:rPr>
          <w:rFonts w:ascii="Times New Roman" w:hAnsi="Times New Roman"/>
        </w:rPr>
      </w:pPr>
      <w:r w:rsidRPr="001A4989">
        <w:rPr>
          <w:rFonts w:ascii="Times New Roman" w:hAnsi="Times New Roman"/>
        </w:rPr>
        <w:t>The filings listed a total of 6,</w:t>
      </w:r>
      <w:r w:rsidRPr="001A4989" w:rsidR="00000826">
        <w:rPr>
          <w:rFonts w:ascii="Times New Roman" w:hAnsi="Times New Roman"/>
        </w:rPr>
        <w:t>769</w:t>
      </w:r>
      <w:r w:rsidRPr="001A4989">
        <w:rPr>
          <w:rFonts w:ascii="Times New Roman" w:hAnsi="Times New Roman"/>
        </w:rPr>
        <w:t xml:space="preserve"> PSAPs for 911 circuit diversity.  Of these PSAPs, </w:t>
      </w:r>
      <w:r w:rsidRPr="001A4989" w:rsidR="009E7D70">
        <w:rPr>
          <w:rFonts w:ascii="Times New Roman" w:hAnsi="Times New Roman"/>
        </w:rPr>
        <w:t>covered entities</w:t>
      </w:r>
      <w:r w:rsidRPr="001A4989">
        <w:rPr>
          <w:rFonts w:ascii="Times New Roman" w:hAnsi="Times New Roman"/>
        </w:rPr>
        <w:t xml:space="preserve"> </w:t>
      </w:r>
      <w:r w:rsidRPr="001A4989" w:rsidR="007D4758">
        <w:rPr>
          <w:rFonts w:ascii="Times New Roman" w:hAnsi="Times New Roman"/>
        </w:rPr>
        <w:t>certifi</w:t>
      </w:r>
      <w:r w:rsidRPr="001A4989">
        <w:rPr>
          <w:rFonts w:ascii="Times New Roman" w:hAnsi="Times New Roman"/>
        </w:rPr>
        <w:t>ed that 3,</w:t>
      </w:r>
      <w:r w:rsidRPr="001A4989" w:rsidR="00000826">
        <w:rPr>
          <w:rFonts w:ascii="Times New Roman" w:hAnsi="Times New Roman"/>
        </w:rPr>
        <w:t>855</w:t>
      </w:r>
      <w:r w:rsidRPr="001A4989">
        <w:rPr>
          <w:rFonts w:ascii="Times New Roman" w:hAnsi="Times New Roman"/>
        </w:rPr>
        <w:t xml:space="preserve"> are served by diverse circuits. </w:t>
      </w:r>
      <w:r w:rsidRPr="001A4989">
        <w:rPr>
          <w:rFonts w:ascii="Times New Roman" w:hAnsi="Times New Roman"/>
        </w:rPr>
        <w:t xml:space="preserve"> With respect to alternative measures to circuit diversity, covered entities have implemented such measures for 2,914 of the total 6,769 PSAPs.</w:t>
      </w:r>
    </w:p>
    <w:p w:rsidR="005D1E56" w:rsidRPr="001A4989" w:rsidP="008F3DE6" w14:paraId="56A619F0" w14:textId="5C731D74">
      <w:pPr>
        <w:rPr>
          <w:rFonts w:ascii="Times New Roman" w:hAnsi="Times New Roman"/>
        </w:rPr>
      </w:pPr>
      <w:r w:rsidRPr="001A4989">
        <w:rPr>
          <w:rFonts w:ascii="Times New Roman" w:hAnsi="Times New Roman"/>
        </w:rPr>
        <w:t xml:space="preserve">The </w:t>
      </w:r>
      <w:r w:rsidRPr="001A4989" w:rsidR="00BE6C4C">
        <w:rPr>
          <w:rFonts w:ascii="Times New Roman" w:hAnsi="Times New Roman"/>
        </w:rPr>
        <w:t xml:space="preserve">covered entities’ </w:t>
      </w:r>
      <w:r w:rsidRPr="001A4989">
        <w:rPr>
          <w:rFonts w:ascii="Times New Roman" w:hAnsi="Times New Roman"/>
        </w:rPr>
        <w:t>selection</w:t>
      </w:r>
      <w:r w:rsidRPr="001A4989" w:rsidR="00F40949">
        <w:rPr>
          <w:rFonts w:ascii="Times New Roman" w:hAnsi="Times New Roman"/>
        </w:rPr>
        <w:t>s</w:t>
      </w:r>
      <w:r w:rsidRPr="001A4989">
        <w:rPr>
          <w:rFonts w:ascii="Times New Roman" w:hAnsi="Times New Roman"/>
        </w:rPr>
        <w:t xml:space="preserve"> from the drop-down menu</w:t>
      </w:r>
      <w:r w:rsidRPr="001A4989" w:rsidR="00D13270">
        <w:rPr>
          <w:rFonts w:ascii="Times New Roman" w:hAnsi="Times New Roman"/>
        </w:rPr>
        <w:t xml:space="preserve"> which contains key</w:t>
      </w:r>
      <w:r w:rsidRPr="001A4989">
        <w:rPr>
          <w:rFonts w:ascii="Times New Roman" w:hAnsi="Times New Roman"/>
        </w:rPr>
        <w:t xml:space="preserve"> </w:t>
      </w:r>
      <w:r w:rsidRPr="001A4989" w:rsidR="003114F9">
        <w:rPr>
          <w:rFonts w:ascii="Times New Roman" w:hAnsi="Times New Roman"/>
        </w:rPr>
        <w:t>alternative</w:t>
      </w:r>
      <w:r w:rsidRPr="001A4989">
        <w:rPr>
          <w:rFonts w:ascii="Times New Roman" w:hAnsi="Times New Roman"/>
        </w:rPr>
        <w:t xml:space="preserve"> measure</w:t>
      </w:r>
      <w:r w:rsidRPr="001A4989" w:rsidR="00F40949">
        <w:rPr>
          <w:rFonts w:ascii="Times New Roman" w:hAnsi="Times New Roman"/>
        </w:rPr>
        <w:t>s</w:t>
      </w:r>
      <w:r w:rsidR="00431905">
        <w:rPr>
          <w:rFonts w:ascii="Times New Roman" w:hAnsi="Times New Roman"/>
        </w:rPr>
        <w:t>,</w:t>
      </w:r>
      <w:r w:rsidRPr="001A4989">
        <w:rPr>
          <w:rFonts w:ascii="Times New Roman" w:hAnsi="Times New Roman"/>
        </w:rPr>
        <w:t xml:space="preserve"> </w:t>
      </w:r>
      <w:r w:rsidRPr="001A4989" w:rsidR="00D13270">
        <w:rPr>
          <w:rFonts w:ascii="Times New Roman" w:hAnsi="Times New Roman"/>
        </w:rPr>
        <w:t xml:space="preserve">but not necessarily all alternative measures, </w:t>
      </w:r>
      <w:r w:rsidR="0000288B">
        <w:rPr>
          <w:rFonts w:ascii="Times New Roman" w:hAnsi="Times New Roman"/>
        </w:rPr>
        <w:t>are</w:t>
      </w:r>
      <w:r w:rsidRPr="001A4989" w:rsidR="0000288B">
        <w:rPr>
          <w:rFonts w:ascii="Times New Roman" w:hAnsi="Times New Roman"/>
        </w:rPr>
        <w:t xml:space="preserve"> </w:t>
      </w:r>
      <w:r w:rsidRPr="001A4989" w:rsidR="00F40949">
        <w:rPr>
          <w:rFonts w:ascii="Times New Roman" w:hAnsi="Times New Roman"/>
        </w:rPr>
        <w:t xml:space="preserve">shown </w:t>
      </w:r>
      <w:r w:rsidRPr="001A4989">
        <w:rPr>
          <w:rFonts w:ascii="Times New Roman" w:hAnsi="Times New Roman"/>
        </w:rPr>
        <w:t>below:</w:t>
      </w:r>
    </w:p>
    <w:tbl>
      <w:tblPr>
        <w:tblW w:w="6400" w:type="dxa"/>
        <w:jc w:val="center"/>
        <w:tblInd w:w="0" w:type="dxa"/>
        <w:tblCellMar>
          <w:top w:w="0" w:type="dxa"/>
          <w:left w:w="108" w:type="dxa"/>
          <w:bottom w:w="0" w:type="dxa"/>
          <w:right w:w="108" w:type="dxa"/>
        </w:tblCellMar>
        <w:tblLook w:val="04A0"/>
      </w:tblPr>
      <w:tblGrid>
        <w:gridCol w:w="4040"/>
        <w:gridCol w:w="1160"/>
        <w:gridCol w:w="1200"/>
      </w:tblGrid>
      <w:tr w14:paraId="714D5302" w14:textId="77777777" w:rsidTr="00C97710">
        <w:tblPrEx>
          <w:tblW w:w="6400" w:type="dxa"/>
          <w:jc w:val="center"/>
          <w:tblInd w:w="0" w:type="dxa"/>
          <w:tblCellMar>
            <w:top w:w="0" w:type="dxa"/>
            <w:left w:w="108" w:type="dxa"/>
            <w:bottom w:w="0" w:type="dxa"/>
            <w:right w:w="108" w:type="dxa"/>
          </w:tblCellMar>
          <w:tblLook w:val="04A0"/>
        </w:tblPrEx>
        <w:trPr>
          <w:trHeight w:val="900"/>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069" w:rsidRPr="001A4989" w:rsidP="001E3069" w14:paraId="3D3DF83C" w14:textId="09B83338">
            <w:pPr>
              <w:spacing w:after="0" w:line="240" w:lineRule="auto"/>
              <w:jc w:val="center"/>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Certified Alt</w:t>
            </w:r>
            <w:r w:rsidR="00FA6FEE">
              <w:rPr>
                <w:rFonts w:ascii="Times New Roman" w:hAnsi="Times New Roman" w:eastAsiaTheme="minorHAnsi" w:cstheme="minorBidi"/>
                <w:b/>
                <w:color w:val="000000"/>
                <w:sz w:val="22"/>
                <w:szCs w:val="22"/>
                <w:lang w:val="en-US" w:eastAsia="en-US" w:bidi="ar-SA"/>
              </w:rPr>
              <w:t>ernative</w:t>
            </w:r>
            <w:r w:rsidRPr="001A4989">
              <w:rPr>
                <w:rFonts w:ascii="Times New Roman" w:hAnsi="Times New Roman" w:eastAsiaTheme="minorHAnsi" w:cstheme="minorBidi"/>
                <w:b/>
                <w:color w:val="000000"/>
                <w:sz w:val="22"/>
                <w:szCs w:val="22"/>
                <w:lang w:val="en-US" w:eastAsia="en-US" w:bidi="ar-SA"/>
              </w:rPr>
              <w:t xml:space="preserve"> Measure Chosen </w:t>
            </w:r>
            <w:r w:rsidRPr="001A4989" w:rsidR="00F509C1">
              <w:rPr>
                <w:rFonts w:ascii="Times New Roman" w:hAnsi="Times New Roman" w:eastAsiaTheme="minorHAnsi" w:cstheme="minorBidi"/>
                <w:b/>
                <w:color w:val="000000"/>
                <w:sz w:val="22"/>
                <w:szCs w:val="22"/>
                <w:lang w:val="en-US" w:eastAsia="en-US" w:bidi="ar-SA"/>
              </w:rPr>
              <w:t>F</w:t>
            </w:r>
            <w:r w:rsidR="002D293E">
              <w:rPr>
                <w:rFonts w:ascii="Times New Roman" w:hAnsi="Times New Roman" w:eastAsiaTheme="minorHAnsi" w:cstheme="minorBidi"/>
                <w:b/>
                <w:color w:val="000000"/>
                <w:sz w:val="22"/>
                <w:szCs w:val="22"/>
                <w:lang w:val="en-US" w:eastAsia="en-US" w:bidi="ar-SA"/>
              </w:rPr>
              <w:t>rom</w:t>
            </w:r>
            <w:r w:rsidRPr="001A4989" w:rsidR="002D752F">
              <w:rPr>
                <w:rFonts w:ascii="Times New Roman" w:hAnsi="Times New Roman" w:eastAsiaTheme="minorHAnsi" w:cstheme="minorBidi"/>
                <w:b/>
                <w:color w:val="000000"/>
                <w:sz w:val="22"/>
                <w:szCs w:val="22"/>
                <w:lang w:val="en-US" w:eastAsia="en-US" w:bidi="ar-SA"/>
              </w:rPr>
              <w:t xml:space="preserve"> </w:t>
            </w:r>
            <w:r w:rsidRPr="001A4989">
              <w:rPr>
                <w:rFonts w:ascii="Times New Roman" w:hAnsi="Times New Roman" w:eastAsiaTheme="minorHAnsi" w:cstheme="minorBidi"/>
                <w:b/>
                <w:color w:val="000000"/>
                <w:sz w:val="22"/>
                <w:szCs w:val="22"/>
                <w:lang w:val="en-US" w:eastAsia="en-US" w:bidi="ar-SA"/>
              </w:rPr>
              <w:t xml:space="preserve">the </w:t>
            </w:r>
            <w:r w:rsidRPr="001A4989" w:rsidR="00F509C1">
              <w:rPr>
                <w:rFonts w:ascii="Times New Roman" w:hAnsi="Times New Roman" w:eastAsiaTheme="minorHAnsi" w:cstheme="minorBidi"/>
                <w:b/>
                <w:color w:val="000000"/>
                <w:sz w:val="22"/>
                <w:szCs w:val="22"/>
                <w:lang w:val="en-US" w:eastAsia="en-US" w:bidi="ar-SA"/>
              </w:rPr>
              <w:t>D</w:t>
            </w:r>
            <w:r w:rsidRPr="001A4989">
              <w:rPr>
                <w:rFonts w:ascii="Times New Roman" w:hAnsi="Times New Roman" w:eastAsiaTheme="minorHAnsi" w:cstheme="minorBidi"/>
                <w:b/>
                <w:color w:val="000000"/>
                <w:sz w:val="22"/>
                <w:szCs w:val="22"/>
                <w:lang w:val="en-US" w:eastAsia="en-US" w:bidi="ar-SA"/>
              </w:rPr>
              <w:t>rop</w:t>
            </w:r>
            <w:r w:rsidRPr="001A4989" w:rsidR="00F509C1">
              <w:rPr>
                <w:rFonts w:ascii="Times New Roman" w:hAnsi="Times New Roman" w:eastAsiaTheme="minorHAnsi" w:cstheme="minorBidi"/>
                <w:b/>
                <w:color w:val="000000"/>
                <w:sz w:val="22"/>
                <w:szCs w:val="22"/>
                <w:lang w:val="en-US" w:eastAsia="en-US" w:bidi="ar-SA"/>
              </w:rPr>
              <w:t>-</w:t>
            </w:r>
            <w:r w:rsidRPr="001A4989">
              <w:rPr>
                <w:rFonts w:ascii="Times New Roman" w:hAnsi="Times New Roman" w:eastAsiaTheme="minorHAnsi" w:cstheme="minorBidi"/>
                <w:b/>
                <w:color w:val="000000"/>
                <w:sz w:val="22"/>
                <w:szCs w:val="22"/>
                <w:lang w:val="en-US" w:eastAsia="en-US" w:bidi="ar-SA"/>
              </w:rPr>
              <w:t xml:space="preserve">down </w:t>
            </w:r>
            <w:r w:rsidRPr="001A4989" w:rsidR="00F509C1">
              <w:rPr>
                <w:rFonts w:ascii="Times New Roman" w:hAnsi="Times New Roman" w:eastAsiaTheme="minorHAnsi" w:cstheme="minorBidi"/>
                <w:b/>
                <w:color w:val="000000"/>
                <w:sz w:val="22"/>
                <w:szCs w:val="22"/>
                <w:lang w:val="en-US" w:eastAsia="en-US" w:bidi="ar-SA"/>
              </w:rPr>
              <w:t>M</w:t>
            </w:r>
            <w:r w:rsidRPr="001A4989">
              <w:rPr>
                <w:rFonts w:ascii="Times New Roman" w:hAnsi="Times New Roman" w:eastAsiaTheme="minorHAnsi" w:cstheme="minorBidi"/>
                <w:b/>
                <w:color w:val="000000"/>
                <w:sz w:val="22"/>
                <w:szCs w:val="22"/>
                <w:lang w:val="en-US" w:eastAsia="en-US" w:bidi="ar-SA"/>
              </w:rPr>
              <w:t>enu</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E3069" w:rsidRPr="001A4989" w:rsidP="001E3069" w14:paraId="0D68ECCB" w14:textId="77777777">
            <w:pPr>
              <w:spacing w:after="0" w:line="240" w:lineRule="auto"/>
              <w:jc w:val="center"/>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Number of PSAPs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E3069" w:rsidRPr="001A4989" w:rsidP="001E3069" w14:paraId="0D50D6CE" w14:textId="77777777">
            <w:pPr>
              <w:spacing w:after="0" w:line="240" w:lineRule="auto"/>
              <w:jc w:val="center"/>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Percent of Certified PSAPs</w:t>
            </w:r>
          </w:p>
        </w:tc>
      </w:tr>
      <w:tr w14:paraId="38EE2D14" w14:textId="77777777" w:rsidTr="00C97710">
        <w:tblPrEx>
          <w:tblW w:w="6400" w:type="dxa"/>
          <w:jc w:val="center"/>
          <w:tblInd w:w="0" w:type="dxa"/>
          <w:tblCellMar>
            <w:top w:w="0" w:type="dxa"/>
            <w:left w:w="108" w:type="dxa"/>
            <w:bottom w:w="0" w:type="dxa"/>
            <w:right w:w="108" w:type="dxa"/>
          </w:tblCellMar>
          <w:tblLook w:val="04A0"/>
        </w:tblPrEx>
        <w:trPr>
          <w:trHeight w:val="300"/>
          <w:jc w:val="center"/>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1E3069" w:rsidRPr="001A4989" w:rsidP="001E3069" w14:paraId="3E765A14"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Circuits are logically diverse</w:t>
            </w:r>
          </w:p>
        </w:tc>
        <w:tc>
          <w:tcPr>
            <w:tcW w:w="1160" w:type="dxa"/>
            <w:tcBorders>
              <w:top w:val="nil"/>
              <w:left w:val="nil"/>
              <w:bottom w:val="single" w:sz="4" w:space="0" w:color="auto"/>
              <w:right w:val="single" w:sz="4" w:space="0" w:color="auto"/>
            </w:tcBorders>
            <w:shd w:val="clear" w:color="auto" w:fill="auto"/>
            <w:vAlign w:val="center"/>
            <w:hideMark/>
          </w:tcPr>
          <w:p w:rsidR="001E3069" w:rsidRPr="001A4989" w:rsidP="001E3069" w14:paraId="5D6A8FE6"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1121</w:t>
            </w:r>
          </w:p>
        </w:tc>
        <w:tc>
          <w:tcPr>
            <w:tcW w:w="1200" w:type="dxa"/>
            <w:tcBorders>
              <w:top w:val="nil"/>
              <w:left w:val="nil"/>
              <w:bottom w:val="single" w:sz="4" w:space="0" w:color="auto"/>
              <w:right w:val="single" w:sz="4" w:space="0" w:color="auto"/>
            </w:tcBorders>
            <w:shd w:val="clear" w:color="auto" w:fill="auto"/>
            <w:vAlign w:val="center"/>
            <w:hideMark/>
          </w:tcPr>
          <w:p w:rsidR="001E3069" w:rsidRPr="001A4989" w:rsidP="001E3069" w14:paraId="5C1F5434"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16.6%</w:t>
            </w:r>
          </w:p>
        </w:tc>
      </w:tr>
      <w:tr w14:paraId="6A7797C4" w14:textId="77777777" w:rsidTr="00C97710">
        <w:tblPrEx>
          <w:tblW w:w="6400" w:type="dxa"/>
          <w:jc w:val="center"/>
          <w:tblInd w:w="0" w:type="dxa"/>
          <w:tblCellMar>
            <w:top w:w="0" w:type="dxa"/>
            <w:left w:w="108" w:type="dxa"/>
            <w:bottom w:w="0" w:type="dxa"/>
            <w:right w:w="108" w:type="dxa"/>
          </w:tblCellMar>
          <w:tblLook w:val="04A0"/>
        </w:tblPrEx>
        <w:trPr>
          <w:trHeight w:val="600"/>
          <w:jc w:val="center"/>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1E3069" w:rsidRPr="001A4989" w:rsidP="001E3069" w14:paraId="2444181B"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NG 911 has been implemented allowing for automatic alternate route selection</w:t>
            </w:r>
          </w:p>
        </w:tc>
        <w:tc>
          <w:tcPr>
            <w:tcW w:w="1160" w:type="dxa"/>
            <w:tcBorders>
              <w:top w:val="nil"/>
              <w:left w:val="nil"/>
              <w:bottom w:val="single" w:sz="4" w:space="0" w:color="auto"/>
              <w:right w:val="single" w:sz="4" w:space="0" w:color="auto"/>
            </w:tcBorders>
            <w:shd w:val="clear" w:color="auto" w:fill="auto"/>
            <w:vAlign w:val="center"/>
            <w:hideMark/>
          </w:tcPr>
          <w:p w:rsidR="001E3069" w:rsidRPr="001A4989" w:rsidP="001E3069" w14:paraId="635D945B"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76</w:t>
            </w:r>
          </w:p>
        </w:tc>
        <w:tc>
          <w:tcPr>
            <w:tcW w:w="1200" w:type="dxa"/>
            <w:tcBorders>
              <w:top w:val="nil"/>
              <w:left w:val="nil"/>
              <w:bottom w:val="single" w:sz="4" w:space="0" w:color="auto"/>
              <w:right w:val="single" w:sz="4" w:space="0" w:color="auto"/>
            </w:tcBorders>
            <w:shd w:val="clear" w:color="auto" w:fill="auto"/>
            <w:vAlign w:val="center"/>
            <w:hideMark/>
          </w:tcPr>
          <w:p w:rsidR="001E3069" w:rsidRPr="001A4989" w:rsidP="001E3069" w14:paraId="18114B04"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1.1%</w:t>
            </w:r>
          </w:p>
        </w:tc>
      </w:tr>
      <w:tr w14:paraId="013F3A4F" w14:textId="77777777" w:rsidTr="00C97710">
        <w:tblPrEx>
          <w:tblW w:w="6400" w:type="dxa"/>
          <w:jc w:val="center"/>
          <w:tblInd w:w="0" w:type="dxa"/>
          <w:tblCellMar>
            <w:top w:w="0" w:type="dxa"/>
            <w:left w:w="108" w:type="dxa"/>
            <w:bottom w:w="0" w:type="dxa"/>
            <w:right w:w="108" w:type="dxa"/>
          </w:tblCellMar>
          <w:tblLook w:val="04A0"/>
        </w:tblPrEx>
        <w:trPr>
          <w:trHeight w:val="600"/>
          <w:jc w:val="center"/>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1E3069" w:rsidRPr="001A4989" w:rsidP="001E3069" w14:paraId="090626B4"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Reroute to a backup PSAP on diverse path</w:t>
            </w:r>
          </w:p>
        </w:tc>
        <w:tc>
          <w:tcPr>
            <w:tcW w:w="1160" w:type="dxa"/>
            <w:tcBorders>
              <w:top w:val="nil"/>
              <w:left w:val="nil"/>
              <w:bottom w:val="single" w:sz="4" w:space="0" w:color="auto"/>
              <w:right w:val="single" w:sz="4" w:space="0" w:color="auto"/>
            </w:tcBorders>
            <w:shd w:val="clear" w:color="auto" w:fill="auto"/>
            <w:vAlign w:val="center"/>
            <w:hideMark/>
          </w:tcPr>
          <w:p w:rsidR="001E3069" w:rsidRPr="001A4989" w:rsidP="001E3069" w14:paraId="4C077B77"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92</w:t>
            </w:r>
          </w:p>
        </w:tc>
        <w:tc>
          <w:tcPr>
            <w:tcW w:w="1200" w:type="dxa"/>
            <w:tcBorders>
              <w:top w:val="nil"/>
              <w:left w:val="nil"/>
              <w:bottom w:val="single" w:sz="4" w:space="0" w:color="auto"/>
              <w:right w:val="single" w:sz="4" w:space="0" w:color="auto"/>
            </w:tcBorders>
            <w:shd w:val="clear" w:color="auto" w:fill="auto"/>
            <w:vAlign w:val="center"/>
            <w:hideMark/>
          </w:tcPr>
          <w:p w:rsidR="001E3069" w:rsidRPr="001A4989" w:rsidP="001E3069" w14:paraId="56186749"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1.4%</w:t>
            </w:r>
          </w:p>
        </w:tc>
      </w:tr>
      <w:tr w14:paraId="441BF51E" w14:textId="77777777" w:rsidTr="00C97710">
        <w:tblPrEx>
          <w:tblW w:w="6400" w:type="dxa"/>
          <w:jc w:val="center"/>
          <w:tblInd w:w="0" w:type="dxa"/>
          <w:tblCellMar>
            <w:top w:w="0" w:type="dxa"/>
            <w:left w:w="108" w:type="dxa"/>
            <w:bottom w:w="0" w:type="dxa"/>
            <w:right w:w="108" w:type="dxa"/>
          </w:tblCellMar>
          <w:tblLook w:val="04A0"/>
        </w:tblPrEx>
        <w:trPr>
          <w:trHeight w:val="600"/>
          <w:jc w:val="center"/>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1E3069" w:rsidRPr="001A4989" w:rsidP="001E3069" w14:paraId="71AC938E"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Reroute to a secondary PSAP on diverse path</w:t>
            </w:r>
          </w:p>
        </w:tc>
        <w:tc>
          <w:tcPr>
            <w:tcW w:w="1160" w:type="dxa"/>
            <w:tcBorders>
              <w:top w:val="nil"/>
              <w:left w:val="nil"/>
              <w:bottom w:val="single" w:sz="4" w:space="0" w:color="auto"/>
              <w:right w:val="single" w:sz="4" w:space="0" w:color="auto"/>
            </w:tcBorders>
            <w:shd w:val="clear" w:color="auto" w:fill="auto"/>
            <w:vAlign w:val="center"/>
            <w:hideMark/>
          </w:tcPr>
          <w:p w:rsidR="001E3069" w:rsidRPr="001A4989" w:rsidP="001E3069" w14:paraId="04A5AAE6"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25</w:t>
            </w:r>
          </w:p>
        </w:tc>
        <w:tc>
          <w:tcPr>
            <w:tcW w:w="1200" w:type="dxa"/>
            <w:tcBorders>
              <w:top w:val="nil"/>
              <w:left w:val="nil"/>
              <w:bottom w:val="single" w:sz="4" w:space="0" w:color="auto"/>
              <w:right w:val="single" w:sz="4" w:space="0" w:color="auto"/>
            </w:tcBorders>
            <w:shd w:val="clear" w:color="auto" w:fill="auto"/>
            <w:vAlign w:val="center"/>
            <w:hideMark/>
          </w:tcPr>
          <w:p w:rsidR="001E3069" w:rsidRPr="001A4989" w:rsidP="001E3069" w14:paraId="6299DF64"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0.4%</w:t>
            </w:r>
          </w:p>
        </w:tc>
      </w:tr>
      <w:tr w14:paraId="5AB0742E" w14:textId="77777777" w:rsidTr="00C97710">
        <w:tblPrEx>
          <w:tblW w:w="6400" w:type="dxa"/>
          <w:jc w:val="center"/>
          <w:tblInd w:w="0" w:type="dxa"/>
          <w:tblCellMar>
            <w:top w:w="0" w:type="dxa"/>
            <w:left w:w="108" w:type="dxa"/>
            <w:bottom w:w="0" w:type="dxa"/>
            <w:right w:w="108" w:type="dxa"/>
          </w:tblCellMar>
          <w:tblLook w:val="04A0"/>
        </w:tblPrEx>
        <w:trPr>
          <w:trHeight w:val="600"/>
          <w:jc w:val="center"/>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1E3069" w:rsidRPr="001A4989" w:rsidP="001E3069" w14:paraId="7F97480D"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Reroute to a wireline alternative (10</w:t>
            </w:r>
            <w:r w:rsidRPr="001A4989" w:rsidR="00C351E9">
              <w:rPr>
                <w:rFonts w:ascii="Times New Roman" w:hAnsi="Times New Roman" w:eastAsiaTheme="minorHAnsi" w:cstheme="minorBidi"/>
                <w:color w:val="000000"/>
                <w:sz w:val="22"/>
                <w:szCs w:val="22"/>
                <w:lang w:val="en-US" w:eastAsia="en-US" w:bidi="ar-SA"/>
              </w:rPr>
              <w:t>-</w:t>
            </w:r>
            <w:r w:rsidRPr="001A4989">
              <w:rPr>
                <w:rFonts w:ascii="Times New Roman" w:hAnsi="Times New Roman" w:eastAsiaTheme="minorHAnsi" w:cstheme="minorBidi"/>
                <w:color w:val="000000"/>
                <w:sz w:val="22"/>
                <w:szCs w:val="22"/>
                <w:lang w:val="en-US" w:eastAsia="en-US" w:bidi="ar-SA"/>
              </w:rPr>
              <w:t>digit number)</w:t>
            </w:r>
          </w:p>
        </w:tc>
        <w:tc>
          <w:tcPr>
            <w:tcW w:w="1160" w:type="dxa"/>
            <w:tcBorders>
              <w:top w:val="nil"/>
              <w:left w:val="nil"/>
              <w:bottom w:val="single" w:sz="4" w:space="0" w:color="auto"/>
              <w:right w:val="single" w:sz="4" w:space="0" w:color="auto"/>
            </w:tcBorders>
            <w:shd w:val="clear" w:color="auto" w:fill="auto"/>
            <w:vAlign w:val="center"/>
            <w:hideMark/>
          </w:tcPr>
          <w:p w:rsidR="001E3069" w:rsidRPr="001A4989" w:rsidP="001E3069" w14:paraId="69B417DA"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115</w:t>
            </w:r>
          </w:p>
        </w:tc>
        <w:tc>
          <w:tcPr>
            <w:tcW w:w="1200" w:type="dxa"/>
            <w:tcBorders>
              <w:top w:val="nil"/>
              <w:left w:val="nil"/>
              <w:bottom w:val="single" w:sz="4" w:space="0" w:color="auto"/>
              <w:right w:val="single" w:sz="4" w:space="0" w:color="auto"/>
            </w:tcBorders>
            <w:shd w:val="clear" w:color="auto" w:fill="auto"/>
            <w:vAlign w:val="center"/>
            <w:hideMark/>
          </w:tcPr>
          <w:p w:rsidR="001E3069" w:rsidRPr="001A4989" w:rsidP="001E3069" w14:paraId="3D03ED39"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1.7%</w:t>
            </w:r>
          </w:p>
        </w:tc>
      </w:tr>
      <w:tr w14:paraId="07E4F8E0" w14:textId="77777777" w:rsidTr="00C97710">
        <w:tblPrEx>
          <w:tblW w:w="6400" w:type="dxa"/>
          <w:jc w:val="center"/>
          <w:tblInd w:w="0" w:type="dxa"/>
          <w:tblCellMar>
            <w:top w:w="0" w:type="dxa"/>
            <w:left w:w="108" w:type="dxa"/>
            <w:bottom w:w="0" w:type="dxa"/>
            <w:right w:w="108" w:type="dxa"/>
          </w:tblCellMar>
          <w:tblLook w:val="04A0"/>
        </w:tblPrEx>
        <w:trPr>
          <w:trHeight w:val="300"/>
          <w:jc w:val="center"/>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1E3069" w:rsidRPr="001A4989" w:rsidP="001E3069" w14:paraId="3E65E5B3"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Two PSAPs treat each other as alternates</w:t>
            </w:r>
          </w:p>
        </w:tc>
        <w:tc>
          <w:tcPr>
            <w:tcW w:w="1160" w:type="dxa"/>
            <w:tcBorders>
              <w:top w:val="nil"/>
              <w:left w:val="nil"/>
              <w:bottom w:val="single" w:sz="4" w:space="0" w:color="auto"/>
              <w:right w:val="single" w:sz="4" w:space="0" w:color="auto"/>
            </w:tcBorders>
            <w:shd w:val="clear" w:color="auto" w:fill="auto"/>
            <w:vAlign w:val="center"/>
            <w:hideMark/>
          </w:tcPr>
          <w:p w:rsidR="001E3069" w:rsidRPr="001A4989" w:rsidP="001E3069" w14:paraId="6629C776"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239</w:t>
            </w:r>
          </w:p>
        </w:tc>
        <w:tc>
          <w:tcPr>
            <w:tcW w:w="1200" w:type="dxa"/>
            <w:tcBorders>
              <w:top w:val="nil"/>
              <w:left w:val="nil"/>
              <w:bottom w:val="single" w:sz="4" w:space="0" w:color="auto"/>
              <w:right w:val="single" w:sz="4" w:space="0" w:color="auto"/>
            </w:tcBorders>
            <w:shd w:val="clear" w:color="auto" w:fill="auto"/>
            <w:vAlign w:val="center"/>
            <w:hideMark/>
          </w:tcPr>
          <w:p w:rsidR="001E3069" w:rsidRPr="001A4989" w:rsidP="001E3069" w14:paraId="6BD5E5FD"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3.5%</w:t>
            </w:r>
          </w:p>
        </w:tc>
      </w:tr>
      <w:tr w14:paraId="1BE604E4" w14:textId="77777777" w:rsidTr="00C97710">
        <w:tblPrEx>
          <w:tblW w:w="6400" w:type="dxa"/>
          <w:jc w:val="center"/>
          <w:tblInd w:w="0" w:type="dxa"/>
          <w:tblCellMar>
            <w:top w:w="0" w:type="dxa"/>
            <w:left w:w="108" w:type="dxa"/>
            <w:bottom w:w="0" w:type="dxa"/>
            <w:right w:w="108" w:type="dxa"/>
          </w:tblCellMar>
          <w:tblLook w:val="04A0"/>
        </w:tblPrEx>
        <w:trPr>
          <w:trHeight w:val="900"/>
          <w:jc w:val="center"/>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1E3069" w:rsidRPr="001A4989" w:rsidP="001E3069" w14:paraId="762C5475"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Used separate common equipment (channel bank, multiplexer, transport equipment)</w:t>
            </w:r>
          </w:p>
        </w:tc>
        <w:tc>
          <w:tcPr>
            <w:tcW w:w="1160" w:type="dxa"/>
            <w:tcBorders>
              <w:top w:val="nil"/>
              <w:left w:val="nil"/>
              <w:bottom w:val="single" w:sz="4" w:space="0" w:color="auto"/>
              <w:right w:val="single" w:sz="4" w:space="0" w:color="auto"/>
            </w:tcBorders>
            <w:shd w:val="clear" w:color="auto" w:fill="auto"/>
            <w:vAlign w:val="center"/>
            <w:hideMark/>
          </w:tcPr>
          <w:p w:rsidR="001E3069" w:rsidRPr="001A4989" w:rsidP="001E3069" w14:paraId="1DB0F75B"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950</w:t>
            </w:r>
          </w:p>
        </w:tc>
        <w:tc>
          <w:tcPr>
            <w:tcW w:w="1200" w:type="dxa"/>
            <w:tcBorders>
              <w:top w:val="nil"/>
              <w:left w:val="nil"/>
              <w:bottom w:val="single" w:sz="4" w:space="0" w:color="auto"/>
              <w:right w:val="single" w:sz="4" w:space="0" w:color="auto"/>
            </w:tcBorders>
            <w:shd w:val="clear" w:color="auto" w:fill="auto"/>
            <w:vAlign w:val="center"/>
            <w:hideMark/>
          </w:tcPr>
          <w:p w:rsidR="001E3069" w:rsidRPr="001A4989" w:rsidP="001E3069" w14:paraId="290E126F"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14.0%</w:t>
            </w:r>
          </w:p>
        </w:tc>
      </w:tr>
      <w:tr w14:paraId="4D2BEFB7" w14:textId="77777777" w:rsidTr="00C97710">
        <w:tblPrEx>
          <w:tblW w:w="6400" w:type="dxa"/>
          <w:jc w:val="center"/>
          <w:tblInd w:w="0" w:type="dxa"/>
          <w:tblCellMar>
            <w:top w:w="0" w:type="dxa"/>
            <w:left w:w="108" w:type="dxa"/>
            <w:bottom w:w="0" w:type="dxa"/>
            <w:right w:w="108" w:type="dxa"/>
          </w:tblCellMar>
          <w:tblLook w:val="04A0"/>
        </w:tblPrEx>
        <w:trPr>
          <w:trHeight w:val="300"/>
          <w:jc w:val="center"/>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1E3069" w:rsidRPr="001A4989" w:rsidP="001E3069" w14:paraId="62566D20"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Other</w:t>
            </w:r>
          </w:p>
        </w:tc>
        <w:tc>
          <w:tcPr>
            <w:tcW w:w="1160" w:type="dxa"/>
            <w:tcBorders>
              <w:top w:val="nil"/>
              <w:left w:val="nil"/>
              <w:bottom w:val="single" w:sz="4" w:space="0" w:color="auto"/>
              <w:right w:val="single" w:sz="4" w:space="0" w:color="auto"/>
            </w:tcBorders>
            <w:shd w:val="clear" w:color="auto" w:fill="auto"/>
            <w:vAlign w:val="center"/>
            <w:hideMark/>
          </w:tcPr>
          <w:p w:rsidR="001E3069" w:rsidRPr="001A4989" w:rsidP="001E3069" w14:paraId="28A55DB6"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296</w:t>
            </w:r>
          </w:p>
        </w:tc>
        <w:tc>
          <w:tcPr>
            <w:tcW w:w="1200" w:type="dxa"/>
            <w:tcBorders>
              <w:top w:val="nil"/>
              <w:left w:val="nil"/>
              <w:bottom w:val="single" w:sz="4" w:space="0" w:color="auto"/>
              <w:right w:val="single" w:sz="4" w:space="0" w:color="auto"/>
            </w:tcBorders>
            <w:shd w:val="clear" w:color="auto" w:fill="auto"/>
            <w:vAlign w:val="center"/>
            <w:hideMark/>
          </w:tcPr>
          <w:p w:rsidR="001E3069" w:rsidRPr="001A4989" w:rsidP="001E3069" w14:paraId="6B08D6F9"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4.4%</w:t>
            </w:r>
          </w:p>
        </w:tc>
      </w:tr>
      <w:tr w14:paraId="31EF72AF" w14:textId="77777777" w:rsidTr="00C97710">
        <w:tblPrEx>
          <w:tblW w:w="6400" w:type="dxa"/>
          <w:jc w:val="center"/>
          <w:tblInd w:w="0" w:type="dxa"/>
          <w:tblCellMar>
            <w:top w:w="0" w:type="dxa"/>
            <w:left w:w="108" w:type="dxa"/>
            <w:bottom w:w="0" w:type="dxa"/>
            <w:right w:w="108" w:type="dxa"/>
          </w:tblCellMar>
          <w:tblLook w:val="04A0"/>
        </w:tblPrEx>
        <w:trPr>
          <w:trHeight w:val="300"/>
          <w:jc w:val="center"/>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1E3069" w:rsidRPr="001A4989" w:rsidP="00EE53DB" w14:paraId="299810A1" w14:textId="77777777">
            <w:pPr>
              <w:spacing w:after="0" w:line="240" w:lineRule="auto"/>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Total</w:t>
            </w:r>
          </w:p>
        </w:tc>
        <w:tc>
          <w:tcPr>
            <w:tcW w:w="1160" w:type="dxa"/>
            <w:tcBorders>
              <w:top w:val="nil"/>
              <w:left w:val="nil"/>
              <w:bottom w:val="single" w:sz="4" w:space="0" w:color="auto"/>
              <w:right w:val="single" w:sz="4" w:space="0" w:color="auto"/>
            </w:tcBorders>
            <w:shd w:val="clear" w:color="auto" w:fill="auto"/>
            <w:vAlign w:val="center"/>
            <w:hideMark/>
          </w:tcPr>
          <w:p w:rsidR="001E3069" w:rsidRPr="001A4989" w:rsidP="001E3069" w14:paraId="49C2BF76" w14:textId="77777777">
            <w:pPr>
              <w:spacing w:after="0" w:line="240" w:lineRule="auto"/>
              <w:jc w:val="right"/>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2914</w:t>
            </w:r>
          </w:p>
        </w:tc>
        <w:tc>
          <w:tcPr>
            <w:tcW w:w="1200" w:type="dxa"/>
            <w:tcBorders>
              <w:top w:val="nil"/>
              <w:left w:val="nil"/>
              <w:bottom w:val="single" w:sz="4" w:space="0" w:color="auto"/>
              <w:right w:val="single" w:sz="4" w:space="0" w:color="auto"/>
            </w:tcBorders>
            <w:shd w:val="clear" w:color="auto" w:fill="auto"/>
            <w:vAlign w:val="center"/>
            <w:hideMark/>
          </w:tcPr>
          <w:p w:rsidR="001E3069" w:rsidRPr="001A4989" w:rsidP="001E3069" w14:paraId="4F37FCF0" w14:textId="77777777">
            <w:pPr>
              <w:spacing w:after="0" w:line="240" w:lineRule="auto"/>
              <w:jc w:val="right"/>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43.0%</w:t>
            </w:r>
          </w:p>
        </w:tc>
      </w:tr>
    </w:tbl>
    <w:p w:rsidR="00B63EA1" w:rsidRPr="001A4989" w:rsidP="00D47B8B" w14:paraId="4A0F61D7" w14:textId="3A1F57C5">
      <w:pPr>
        <w:pStyle w:val="Caption"/>
        <w:rPr>
          <w:rFonts w:ascii="Times New Roman" w:hAnsi="Times New Roman"/>
        </w:rPr>
      </w:pPr>
      <w:bookmarkStart w:id="10" w:name="_Toc505948362"/>
      <w:bookmarkStart w:id="11" w:name="_Toc513124071"/>
      <w:r w:rsidRPr="001A4989">
        <w:rPr>
          <w:rFonts w:ascii="Times New Roman" w:hAnsi="Times New Roman"/>
        </w:rPr>
        <w:t xml:space="preserve">Table </w:t>
      </w:r>
      <w:r w:rsidR="00A07138">
        <w:rPr>
          <w:rFonts w:ascii="Times New Roman" w:hAnsi="Times New Roman"/>
        </w:rPr>
        <w:t>2</w:t>
      </w:r>
      <w:r w:rsidR="00E54001">
        <w:rPr>
          <w:rFonts w:ascii="Times New Roman" w:hAnsi="Times New Roman"/>
        </w:rPr>
        <w:t>:</w:t>
      </w:r>
      <w:r w:rsidRPr="001A4989" w:rsidR="00E02B1B">
        <w:rPr>
          <w:rFonts w:ascii="Times New Roman" w:hAnsi="Times New Roman"/>
        </w:rPr>
        <w:t xml:space="preserve"> </w:t>
      </w:r>
      <w:r w:rsidRPr="001A4989">
        <w:rPr>
          <w:rFonts w:ascii="Times New Roman" w:hAnsi="Times New Roman"/>
        </w:rPr>
        <w:t>Number of PSAPs with Various Alternative Measures</w:t>
      </w:r>
      <w:bookmarkEnd w:id="10"/>
      <w:bookmarkEnd w:id="11"/>
    </w:p>
    <w:p w:rsidR="00CB0341" w:rsidRPr="001A4989" w:rsidP="00CB0341" w14:paraId="01360EB2" w14:textId="6E69AAB1">
      <w:pPr>
        <w:widowControl w:val="0"/>
        <w:rPr>
          <w:rFonts w:ascii="Times New Roman" w:hAnsi="Times New Roman"/>
          <w:color w:val="000000"/>
        </w:rPr>
      </w:pPr>
      <w:r w:rsidRPr="001A4989">
        <w:rPr>
          <w:rFonts w:ascii="Times New Roman" w:hAnsi="Times New Roman"/>
          <w:color w:val="000000"/>
        </w:rPr>
        <w:t xml:space="preserve">In addition to selecting the </w:t>
      </w:r>
      <w:r w:rsidR="000E70C0">
        <w:rPr>
          <w:rFonts w:ascii="Times New Roman" w:hAnsi="Times New Roman"/>
          <w:color w:val="000000"/>
        </w:rPr>
        <w:t xml:space="preserve">main </w:t>
      </w:r>
      <w:r w:rsidRPr="001A4989">
        <w:rPr>
          <w:rFonts w:ascii="Times New Roman" w:hAnsi="Times New Roman"/>
          <w:color w:val="000000"/>
        </w:rPr>
        <w:t>alt</w:t>
      </w:r>
      <w:r w:rsidRPr="001A4989" w:rsidR="0095428C">
        <w:rPr>
          <w:rFonts w:ascii="Times New Roman" w:hAnsi="Times New Roman"/>
          <w:color w:val="000000"/>
        </w:rPr>
        <w:t>ernative measures from the drop-</w:t>
      </w:r>
      <w:r w:rsidRPr="001A4989">
        <w:rPr>
          <w:rFonts w:ascii="Times New Roman" w:hAnsi="Times New Roman"/>
          <w:color w:val="000000"/>
        </w:rPr>
        <w:t>down</w:t>
      </w:r>
      <w:r w:rsidRPr="001A4989" w:rsidR="0095428C">
        <w:rPr>
          <w:rFonts w:ascii="Times New Roman" w:hAnsi="Times New Roman"/>
          <w:color w:val="000000"/>
        </w:rPr>
        <w:t xml:space="preserve"> menu</w:t>
      </w:r>
      <w:r w:rsidRPr="001A4989">
        <w:rPr>
          <w:rFonts w:ascii="Times New Roman" w:hAnsi="Times New Roman"/>
          <w:color w:val="000000"/>
        </w:rPr>
        <w:t xml:space="preserve">, </w:t>
      </w:r>
      <w:r w:rsidRPr="001A4989" w:rsidR="009E7D70">
        <w:rPr>
          <w:rFonts w:ascii="Times New Roman" w:hAnsi="Times New Roman"/>
          <w:color w:val="000000"/>
        </w:rPr>
        <w:t>covered entities</w:t>
      </w:r>
      <w:r w:rsidRPr="001A4989">
        <w:rPr>
          <w:rFonts w:ascii="Times New Roman" w:hAnsi="Times New Roman"/>
          <w:color w:val="000000"/>
        </w:rPr>
        <w:t xml:space="preserve"> also described</w:t>
      </w:r>
      <w:r w:rsidRPr="001A4989" w:rsidR="0095428C">
        <w:rPr>
          <w:rFonts w:ascii="Times New Roman" w:hAnsi="Times New Roman"/>
          <w:color w:val="000000"/>
        </w:rPr>
        <w:t xml:space="preserve"> </w:t>
      </w:r>
      <w:r w:rsidR="000E70C0">
        <w:rPr>
          <w:rFonts w:ascii="Times New Roman" w:hAnsi="Times New Roman"/>
          <w:color w:val="000000"/>
        </w:rPr>
        <w:t xml:space="preserve">specific details of these </w:t>
      </w:r>
      <w:r w:rsidRPr="001A4989">
        <w:rPr>
          <w:rFonts w:ascii="Times New Roman" w:hAnsi="Times New Roman"/>
          <w:color w:val="000000"/>
        </w:rPr>
        <w:t xml:space="preserve">alternative measures </w:t>
      </w:r>
      <w:r w:rsidRPr="001A4989" w:rsidR="0095428C">
        <w:rPr>
          <w:rFonts w:ascii="Times New Roman" w:hAnsi="Times New Roman"/>
          <w:color w:val="000000"/>
        </w:rPr>
        <w:t>in a</w:t>
      </w:r>
      <w:r w:rsidRPr="001A4989">
        <w:rPr>
          <w:rFonts w:ascii="Times New Roman" w:hAnsi="Times New Roman"/>
          <w:color w:val="000000"/>
        </w:rPr>
        <w:t xml:space="preserve"> text field</w:t>
      </w:r>
      <w:r w:rsidRPr="001A4989">
        <w:rPr>
          <w:rFonts w:ascii="Times New Roman" w:hAnsi="Times New Roman"/>
          <w:color w:val="000000"/>
        </w:rPr>
        <w:t>.  The following table presents a breakdown of these measures into categories</w:t>
      </w:r>
      <w:r w:rsidRPr="001A4989" w:rsidR="00624D13">
        <w:rPr>
          <w:rFonts w:ascii="Times New Roman" w:hAnsi="Times New Roman"/>
          <w:color w:val="000000"/>
        </w:rPr>
        <w:t xml:space="preserve"> derived</w:t>
      </w:r>
      <w:r w:rsidRPr="001A4989" w:rsidR="004466D0">
        <w:rPr>
          <w:rFonts w:ascii="Times New Roman" w:hAnsi="Times New Roman"/>
          <w:color w:val="000000"/>
        </w:rPr>
        <w:t xml:space="preserve"> from</w:t>
      </w:r>
      <w:r w:rsidRPr="001A4989" w:rsidR="00624D13">
        <w:rPr>
          <w:rFonts w:ascii="Times New Roman" w:hAnsi="Times New Roman"/>
          <w:color w:val="000000"/>
        </w:rPr>
        <w:t xml:space="preserve"> responses to the text field:</w:t>
      </w:r>
    </w:p>
    <w:p w:rsidR="0095742F" w:rsidRPr="001A4989" w:rsidP="00CB0341" w14:paraId="11DE69DB" w14:textId="77777777">
      <w:pPr>
        <w:widowControl w:val="0"/>
        <w:rPr>
          <w:rFonts w:ascii="Times New Roman" w:hAnsi="Times New Roman"/>
          <w:color w:val="000000"/>
        </w:rPr>
      </w:pPr>
    </w:p>
    <w:tbl>
      <w:tblPr>
        <w:tblW w:w="8190" w:type="dxa"/>
        <w:jc w:val="center"/>
        <w:tblInd w:w="0" w:type="dxa"/>
        <w:tblCellMar>
          <w:top w:w="0" w:type="dxa"/>
          <w:left w:w="108" w:type="dxa"/>
          <w:bottom w:w="0" w:type="dxa"/>
          <w:right w:w="108" w:type="dxa"/>
        </w:tblCellMar>
        <w:tblLook w:val="04A0"/>
      </w:tblPr>
      <w:tblGrid>
        <w:gridCol w:w="6840"/>
        <w:gridCol w:w="1350"/>
      </w:tblGrid>
      <w:tr w14:paraId="70538532" w14:textId="77777777" w:rsidTr="00C97710">
        <w:tblPrEx>
          <w:tblW w:w="8190" w:type="dxa"/>
          <w:jc w:val="center"/>
          <w:tblInd w:w="0" w:type="dxa"/>
          <w:tblCellMar>
            <w:top w:w="0" w:type="dxa"/>
            <w:left w:w="108" w:type="dxa"/>
            <w:bottom w:w="0" w:type="dxa"/>
            <w:right w:w="108" w:type="dxa"/>
          </w:tblCellMar>
          <w:tblLook w:val="04A0"/>
        </w:tblPrEx>
        <w:trPr>
          <w:trHeight w:val="600"/>
          <w:jc w:val="center"/>
        </w:trPr>
        <w:tc>
          <w:tcPr>
            <w:tcW w:w="6840" w:type="dxa"/>
            <w:tcBorders>
              <w:top w:val="single" w:sz="4" w:space="0" w:color="auto"/>
              <w:left w:val="single" w:sz="4" w:space="0" w:color="auto"/>
              <w:bottom w:val="single" w:sz="4" w:space="0" w:color="auto"/>
              <w:right w:val="single" w:sz="4" w:space="0" w:color="auto"/>
            </w:tcBorders>
            <w:shd w:val="clear" w:color="000000" w:fill="9BC2E6"/>
            <w:vAlign w:val="bottom"/>
            <w:hideMark/>
          </w:tcPr>
          <w:p w:rsidR="001E3069" w:rsidRPr="001A4989" w:rsidP="001E3069" w14:paraId="1C8FA9F7" w14:textId="66C62AAE">
            <w:pPr>
              <w:spacing w:after="0" w:line="240" w:lineRule="auto"/>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Alternative Measure</w:t>
            </w:r>
            <w:r w:rsidR="002D293E">
              <w:rPr>
                <w:rFonts w:ascii="Times New Roman" w:hAnsi="Times New Roman" w:eastAsiaTheme="minorHAnsi" w:cstheme="minorBidi"/>
                <w:b/>
                <w:color w:val="000000"/>
                <w:sz w:val="22"/>
                <w:szCs w:val="22"/>
                <w:lang w:val="en-US" w:eastAsia="en-US" w:bidi="ar-SA"/>
              </w:rPr>
              <w:t xml:space="preserve"> Details</w:t>
            </w:r>
          </w:p>
        </w:tc>
        <w:tc>
          <w:tcPr>
            <w:tcW w:w="1350" w:type="dxa"/>
            <w:tcBorders>
              <w:top w:val="single" w:sz="4" w:space="0" w:color="auto"/>
              <w:left w:val="nil"/>
              <w:bottom w:val="single" w:sz="4" w:space="0" w:color="auto"/>
              <w:right w:val="single" w:sz="4" w:space="0" w:color="auto"/>
            </w:tcBorders>
            <w:shd w:val="clear" w:color="000000" w:fill="9BC2E6"/>
            <w:vAlign w:val="bottom"/>
            <w:hideMark/>
          </w:tcPr>
          <w:p w:rsidR="001E3069" w:rsidRPr="001A4989" w:rsidP="001E3069" w14:paraId="4E781892" w14:textId="77777777">
            <w:pPr>
              <w:spacing w:after="0" w:line="240" w:lineRule="auto"/>
              <w:jc w:val="center"/>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Number of PSAPs</w:t>
            </w:r>
          </w:p>
        </w:tc>
      </w:tr>
      <w:tr w14:paraId="2440A6A1"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4F29C3C0"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Build/groom common equipment (channel bank, mux, transport equipment)</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10478EDE"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970</w:t>
            </w:r>
          </w:p>
        </w:tc>
      </w:tr>
      <w:tr w14:paraId="55537487" w14:textId="77777777" w:rsidTr="00C97710">
        <w:tblPrEx>
          <w:tblW w:w="8190" w:type="dxa"/>
          <w:jc w:val="center"/>
          <w:tblInd w:w="0" w:type="dxa"/>
          <w:tblCellMar>
            <w:top w:w="0" w:type="dxa"/>
            <w:left w:w="108" w:type="dxa"/>
            <w:bottom w:w="0" w:type="dxa"/>
            <w:right w:w="108" w:type="dxa"/>
          </w:tblCellMar>
          <w:tblLook w:val="04A0"/>
        </w:tblPrEx>
        <w:trPr>
          <w:trHeight w:val="345"/>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9A7DF1" w14:paraId="5F452901"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 xml:space="preserve">Multiple potential </w:t>
            </w:r>
            <w:r w:rsidRPr="006D51AD">
              <w:rPr>
                <w:rFonts w:ascii="Times New Roman" w:eastAsia="Times New Roman" w:hAnsi="Times New Roman" w:cs="Times New Roman"/>
                <w:color w:val="000000"/>
                <w:sz w:val="22"/>
                <w:szCs w:val="22"/>
                <w:lang w:val="en-US" w:eastAsia="en-US" w:bidi="ar-SA"/>
              </w:rPr>
              <w:t>measures</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7B43063E"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566</w:t>
            </w:r>
          </w:p>
        </w:tc>
      </w:tr>
      <w:tr w14:paraId="2602C5EC"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9A7DF1" w14:paraId="7DAA508E"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Pr>
                <w:rFonts w:ascii="Times New Roman" w:eastAsia="Times New Roman" w:hAnsi="Times New Roman" w:cs="Times New Roman"/>
                <w:color w:val="000000"/>
                <w:sz w:val="22"/>
                <w:szCs w:val="22"/>
                <w:lang w:val="en-US" w:eastAsia="en-US" w:bidi="ar-SA"/>
              </w:rPr>
              <w:t>C</w:t>
            </w:r>
            <w:r w:rsidRPr="006D51AD">
              <w:rPr>
                <w:rFonts w:ascii="Times New Roman" w:eastAsia="Times New Roman" w:hAnsi="Times New Roman" w:cs="Times New Roman"/>
                <w:color w:val="000000"/>
                <w:sz w:val="22"/>
                <w:szCs w:val="22"/>
                <w:lang w:val="en-US" w:eastAsia="en-US" w:bidi="ar-SA"/>
              </w:rPr>
              <w:t>ircuit</w:t>
            </w:r>
            <w:r w:rsidRPr="001A4989">
              <w:rPr>
                <w:rFonts w:ascii="Times New Roman" w:hAnsi="Times New Roman" w:eastAsiaTheme="minorHAnsi" w:cstheme="minorBidi"/>
                <w:color w:val="000000"/>
                <w:sz w:val="22"/>
                <w:szCs w:val="22"/>
                <w:lang w:val="en-US" w:eastAsia="en-US" w:bidi="ar-SA"/>
              </w:rPr>
              <w:t xml:space="preserve"> </w:t>
            </w:r>
            <w:r w:rsidRPr="001A4989">
              <w:rPr>
                <w:rFonts w:ascii="Times New Roman" w:hAnsi="Times New Roman" w:eastAsiaTheme="minorHAnsi" w:cstheme="minorBidi"/>
                <w:color w:val="000000"/>
                <w:sz w:val="22"/>
                <w:szCs w:val="22"/>
                <w:lang w:val="en-US" w:eastAsia="en-US" w:bidi="ar-SA"/>
              </w:rPr>
              <w:t>on standalone D4 channel bank or DCS</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09E15EE9"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266</w:t>
            </w:r>
          </w:p>
        </w:tc>
      </w:tr>
      <w:tr w14:paraId="2627CD13"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536FA7D4"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Two PSAPs treat each other as alternates</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7D865996"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223</w:t>
            </w:r>
          </w:p>
        </w:tc>
      </w:tr>
      <w:tr w14:paraId="437E62FB"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5FF315DC"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Circuits are logically diverse</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0B9A8F76"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118</w:t>
            </w:r>
          </w:p>
        </w:tc>
      </w:tr>
      <w:tr w14:paraId="2A1AAB39"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62A80B1A"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Reroute to a wireline alternative (10</w:t>
            </w:r>
            <w:r w:rsidRPr="001A4989" w:rsidR="00C351E9">
              <w:rPr>
                <w:rFonts w:ascii="Times New Roman" w:hAnsi="Times New Roman" w:eastAsiaTheme="minorHAnsi" w:cstheme="minorBidi"/>
                <w:color w:val="000000"/>
                <w:sz w:val="22"/>
                <w:szCs w:val="22"/>
                <w:lang w:val="en-US" w:eastAsia="en-US" w:bidi="ar-SA"/>
              </w:rPr>
              <w:t>-</w:t>
            </w:r>
            <w:r w:rsidRPr="001A4989">
              <w:rPr>
                <w:rFonts w:ascii="Times New Roman" w:hAnsi="Times New Roman" w:eastAsiaTheme="minorHAnsi" w:cstheme="minorBidi"/>
                <w:color w:val="000000"/>
                <w:sz w:val="22"/>
                <w:szCs w:val="22"/>
                <w:lang w:val="en-US" w:eastAsia="en-US" w:bidi="ar-SA"/>
              </w:rPr>
              <w:t>digit number)</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63BECF11"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112</w:t>
            </w:r>
          </w:p>
        </w:tc>
      </w:tr>
      <w:tr w14:paraId="5FF979F3" w14:textId="77777777" w:rsidTr="001A4989">
        <w:tblPrEx>
          <w:tblW w:w="8190" w:type="dxa"/>
          <w:jc w:val="center"/>
          <w:tblInd w:w="0" w:type="dxa"/>
          <w:tblCellMar>
            <w:top w:w="0" w:type="dxa"/>
            <w:left w:w="108" w:type="dxa"/>
            <w:bottom w:w="0" w:type="dxa"/>
            <w:right w:w="108" w:type="dxa"/>
          </w:tblCellMar>
          <w:tblLook w:val="04A0"/>
        </w:tblPrEx>
        <w:trPr>
          <w:trHeight w:val="7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5C2780B3"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NG 911 has been implemented allowing for automatic alternate route selection</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72812871"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105</w:t>
            </w:r>
          </w:p>
        </w:tc>
      </w:tr>
      <w:tr w14:paraId="56CC090F"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00C845B5"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Reroute to a backup PSAP on diverse path</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1E26EFD9"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101</w:t>
            </w:r>
          </w:p>
        </w:tc>
      </w:tr>
      <w:tr w14:paraId="3361D47E"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9A7DF1" w14:paraId="6C8476C0"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Pr>
                <w:rFonts w:ascii="Times New Roman" w:eastAsia="Times New Roman" w:hAnsi="Times New Roman" w:cs="Times New Roman"/>
                <w:color w:val="000000"/>
                <w:sz w:val="22"/>
                <w:szCs w:val="22"/>
                <w:lang w:val="en-US" w:eastAsia="en-US" w:bidi="ar-SA"/>
              </w:rPr>
              <w:t>Diversify</w:t>
            </w:r>
            <w:r w:rsidRPr="001A4989">
              <w:rPr>
                <w:rFonts w:ascii="Times New Roman" w:hAnsi="Times New Roman" w:eastAsiaTheme="minorHAnsi" w:cstheme="minorBidi"/>
                <w:color w:val="000000"/>
                <w:sz w:val="22"/>
                <w:szCs w:val="22"/>
                <w:lang w:val="en-US" w:eastAsia="en-US" w:bidi="ar-SA"/>
              </w:rPr>
              <w:t xml:space="preserve"> timing source</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30CC944B"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61</w:t>
            </w:r>
          </w:p>
        </w:tc>
      </w:tr>
      <w:tr w14:paraId="43262130"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4B21B80B"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Build diverse route/fiber path</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679E68C4"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58</w:t>
            </w:r>
          </w:p>
        </w:tc>
      </w:tr>
      <w:tr w14:paraId="3DAF3FCD"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28D3FD30"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Service provider attests to circuits/trunks/meet-points</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67A4F09A"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54</w:t>
            </w:r>
          </w:p>
        </w:tc>
      </w:tr>
      <w:tr w14:paraId="2BDF1495"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072F7EFB"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Migration to NGN</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44271F0D"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52</w:t>
            </w:r>
          </w:p>
        </w:tc>
      </w:tr>
      <w:tr w14:paraId="665A06FF"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28257052"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Other</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3F52CB9C"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43</w:t>
            </w:r>
          </w:p>
        </w:tc>
      </w:tr>
      <w:tr w14:paraId="3D7ED7A8"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26CB50FC"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Customer provided secondary circuit</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60EEA00C"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39</w:t>
            </w:r>
          </w:p>
        </w:tc>
      </w:tr>
      <w:tr w14:paraId="54FCF1D7"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46242611"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PSAP shares ALI circuits with another PSAP</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73D53270"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33</w:t>
            </w:r>
          </w:p>
        </w:tc>
      </w:tr>
      <w:tr w14:paraId="3EE6211B"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06D6A864"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No alternative indicated</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7406AB4A"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25</w:t>
            </w:r>
          </w:p>
        </w:tc>
      </w:tr>
      <w:tr w14:paraId="59DE2B25"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1D90DFF4"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Customer specified single circuit</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59EC50A2"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22</w:t>
            </w:r>
          </w:p>
        </w:tc>
      </w:tr>
      <w:tr w14:paraId="2762480E"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3B2A118B"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Reroute via circuit controlled by service provider</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57EFD8F0"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15</w:t>
            </w:r>
          </w:p>
        </w:tc>
      </w:tr>
      <w:tr w14:paraId="3E0B0E1A"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007304E6"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Reroute to a secondary PSAP on diverse path</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578FADCA"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13</w:t>
            </w:r>
          </w:p>
        </w:tc>
      </w:tr>
      <w:tr w14:paraId="0C6C6132"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4928DA14"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Reroute via IP to another PSAP</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3F431AEA"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11</w:t>
            </w:r>
          </w:p>
        </w:tc>
      </w:tr>
      <w:tr w14:paraId="2EF9BF9A" w14:textId="77777777" w:rsidTr="0010735C">
        <w:tblPrEx>
          <w:tblW w:w="8190" w:type="dxa"/>
          <w:jc w:val="center"/>
          <w:tblInd w:w="0" w:type="dxa"/>
          <w:tblCellMar>
            <w:top w:w="0" w:type="dxa"/>
            <w:left w:w="108" w:type="dxa"/>
            <w:bottom w:w="0" w:type="dxa"/>
            <w:right w:w="108" w:type="dxa"/>
          </w:tblCellMar>
          <w:tblLook w:val="04A0"/>
        </w:tblPrEx>
        <w:trPr>
          <w:trHeight w:val="278"/>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9A7DF1" w14:paraId="34D97B01"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Pr>
                <w:rFonts w:ascii="Times New Roman" w:eastAsia="Times New Roman" w:hAnsi="Times New Roman" w:cs="Times New Roman"/>
                <w:color w:val="000000"/>
                <w:sz w:val="22"/>
                <w:szCs w:val="22"/>
                <w:lang w:val="en-US" w:eastAsia="en-US" w:bidi="ar-SA"/>
              </w:rPr>
              <w:t>C</w:t>
            </w:r>
            <w:r w:rsidRPr="006D51AD">
              <w:rPr>
                <w:rFonts w:ascii="Times New Roman" w:eastAsia="Times New Roman" w:hAnsi="Times New Roman" w:cs="Times New Roman"/>
                <w:color w:val="000000"/>
                <w:sz w:val="22"/>
                <w:szCs w:val="22"/>
                <w:lang w:val="en-US" w:eastAsia="en-US" w:bidi="ar-SA"/>
              </w:rPr>
              <w:t>ircuit</w:t>
            </w:r>
            <w:r w:rsidRPr="001A4989">
              <w:rPr>
                <w:rFonts w:ascii="Times New Roman" w:hAnsi="Times New Roman" w:eastAsiaTheme="minorHAnsi" w:cstheme="minorBidi"/>
                <w:color w:val="000000"/>
                <w:sz w:val="22"/>
                <w:szCs w:val="22"/>
                <w:lang w:val="en-US" w:eastAsia="en-US" w:bidi="ar-SA"/>
              </w:rPr>
              <w:t xml:space="preserve"> on different entrance facility </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1650A5EA"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10</w:t>
            </w:r>
          </w:p>
        </w:tc>
      </w:tr>
      <w:tr w14:paraId="7948F264"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3E383643"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Call service provider for rerouting to alternate</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0D866E7A"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6</w:t>
            </w:r>
          </w:p>
        </w:tc>
      </w:tr>
      <w:tr w14:paraId="270D9606" w14:textId="77777777" w:rsidTr="00C97710">
        <w:tblPrEx>
          <w:tblW w:w="8190" w:type="dxa"/>
          <w:jc w:val="center"/>
          <w:tblInd w:w="0" w:type="dxa"/>
          <w:tblCellMar>
            <w:top w:w="0" w:type="dxa"/>
            <w:left w:w="108" w:type="dxa"/>
            <w:bottom w:w="0" w:type="dxa"/>
            <w:right w:w="108" w:type="dxa"/>
          </w:tblCellMar>
          <w:tblLook w:val="04A0"/>
        </w:tblPrEx>
        <w:trPr>
          <w:trHeight w:val="300"/>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EA44CC" w14:paraId="7E87EFBE"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Pr>
                <w:rFonts w:ascii="Times New Roman" w:eastAsia="Times New Roman" w:hAnsi="Times New Roman" w:cs="Times New Roman"/>
                <w:color w:val="000000"/>
                <w:sz w:val="22"/>
                <w:szCs w:val="22"/>
                <w:lang w:val="en-US" w:eastAsia="en-US" w:bidi="ar-SA"/>
              </w:rPr>
              <w:t>C</w:t>
            </w:r>
            <w:r w:rsidRPr="006D51AD">
              <w:rPr>
                <w:rFonts w:ascii="Times New Roman" w:eastAsia="Times New Roman" w:hAnsi="Times New Roman" w:cs="Times New Roman"/>
                <w:color w:val="000000"/>
                <w:sz w:val="22"/>
                <w:szCs w:val="22"/>
                <w:lang w:val="en-US" w:eastAsia="en-US" w:bidi="ar-SA"/>
              </w:rPr>
              <w:t>ircuit</w:t>
            </w:r>
            <w:r w:rsidRPr="001A4989">
              <w:rPr>
                <w:rFonts w:ascii="Times New Roman" w:hAnsi="Times New Roman" w:eastAsiaTheme="minorHAnsi" w:cstheme="minorBidi"/>
                <w:color w:val="000000"/>
                <w:sz w:val="22"/>
                <w:szCs w:val="22"/>
                <w:lang w:val="en-US" w:eastAsia="en-US" w:bidi="ar-SA"/>
              </w:rPr>
              <w:t xml:space="preserve"> on diverse SONET path</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40055152"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6</w:t>
            </w:r>
          </w:p>
        </w:tc>
      </w:tr>
      <w:tr w14:paraId="60986558" w14:textId="77777777" w:rsidTr="00C97710">
        <w:tblPrEx>
          <w:tblW w:w="8190" w:type="dxa"/>
          <w:jc w:val="center"/>
          <w:tblInd w:w="0" w:type="dxa"/>
          <w:tblCellMar>
            <w:top w:w="0" w:type="dxa"/>
            <w:left w:w="108" w:type="dxa"/>
            <w:bottom w:w="0" w:type="dxa"/>
            <w:right w:w="108" w:type="dxa"/>
          </w:tblCellMar>
          <w:tblLook w:val="04A0"/>
        </w:tblPrEx>
        <w:trPr>
          <w:trHeight w:val="413"/>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4F4138D9"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Used separate common equipment (channel bank, multiplexer, transport equipment)</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142EC06A"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4</w:t>
            </w:r>
          </w:p>
        </w:tc>
      </w:tr>
      <w:tr w14:paraId="0F240318" w14:textId="77777777" w:rsidTr="00C97710">
        <w:tblPrEx>
          <w:tblW w:w="8190" w:type="dxa"/>
          <w:jc w:val="center"/>
          <w:tblInd w:w="0" w:type="dxa"/>
          <w:tblCellMar>
            <w:top w:w="0" w:type="dxa"/>
            <w:left w:w="108" w:type="dxa"/>
            <w:bottom w:w="0" w:type="dxa"/>
            <w:right w:w="108" w:type="dxa"/>
          </w:tblCellMar>
          <w:tblLook w:val="04A0"/>
        </w:tblPrEx>
        <w:trPr>
          <w:trHeight w:val="315"/>
          <w:jc w:val="center"/>
        </w:trPr>
        <w:tc>
          <w:tcPr>
            <w:tcW w:w="6840" w:type="dxa"/>
            <w:tcBorders>
              <w:top w:val="nil"/>
              <w:left w:val="single" w:sz="4" w:space="0" w:color="auto"/>
              <w:bottom w:val="single" w:sz="4" w:space="0" w:color="auto"/>
              <w:right w:val="single" w:sz="4" w:space="0" w:color="auto"/>
            </w:tcBorders>
            <w:shd w:val="clear" w:color="auto" w:fill="auto"/>
            <w:hideMark/>
          </w:tcPr>
          <w:p w:rsidR="001E3069" w:rsidRPr="001A4989" w:rsidP="001E3069" w14:paraId="5174BBB5"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Establish/lease new circuits</w:t>
            </w:r>
          </w:p>
        </w:tc>
        <w:tc>
          <w:tcPr>
            <w:tcW w:w="1350" w:type="dxa"/>
            <w:tcBorders>
              <w:top w:val="nil"/>
              <w:left w:val="nil"/>
              <w:bottom w:val="single" w:sz="4" w:space="0" w:color="auto"/>
              <w:right w:val="single" w:sz="4" w:space="0" w:color="auto"/>
            </w:tcBorders>
            <w:shd w:val="clear" w:color="auto" w:fill="auto"/>
            <w:noWrap/>
            <w:vAlign w:val="bottom"/>
            <w:hideMark/>
          </w:tcPr>
          <w:p w:rsidR="001E3069" w:rsidRPr="001A4989" w:rsidP="001E3069" w14:paraId="0651E753"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w:t>
            </w:r>
          </w:p>
        </w:tc>
      </w:tr>
      <w:tr w14:paraId="6C1A0D97" w14:textId="77777777" w:rsidTr="00C97710">
        <w:tblPrEx>
          <w:tblW w:w="8190" w:type="dxa"/>
          <w:jc w:val="center"/>
          <w:tblInd w:w="0" w:type="dxa"/>
          <w:tblCellMar>
            <w:top w:w="0" w:type="dxa"/>
            <w:left w:w="108" w:type="dxa"/>
            <w:bottom w:w="0" w:type="dxa"/>
            <w:right w:w="108" w:type="dxa"/>
          </w:tblCellMar>
          <w:tblLook w:val="04A0"/>
        </w:tblPrEx>
        <w:trPr>
          <w:trHeight w:val="315"/>
          <w:jc w:val="center"/>
        </w:trPr>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1E3069" w:rsidRPr="001A4989" w:rsidP="001E3069" w14:paraId="73975C13" w14:textId="77777777">
            <w:pPr>
              <w:spacing w:after="0" w:line="240" w:lineRule="auto"/>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Total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E3069" w:rsidRPr="001A4989" w:rsidP="001E3069" w14:paraId="10B43320" w14:textId="77777777">
            <w:pPr>
              <w:spacing w:after="0" w:line="240" w:lineRule="auto"/>
              <w:jc w:val="right"/>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2914</w:t>
            </w:r>
          </w:p>
        </w:tc>
      </w:tr>
    </w:tbl>
    <w:p w:rsidR="00323463" w:rsidRPr="001A4989" w:rsidP="00D47B8B" w14:paraId="3E88582F" w14:textId="1DC94313">
      <w:pPr>
        <w:pStyle w:val="Caption"/>
        <w:rPr>
          <w:rFonts w:ascii="Times New Roman" w:hAnsi="Times New Roman"/>
        </w:rPr>
      </w:pPr>
      <w:bookmarkStart w:id="12" w:name="_Toc505948363"/>
      <w:bookmarkStart w:id="13" w:name="_Toc513124072"/>
      <w:r w:rsidRPr="001A4989">
        <w:rPr>
          <w:rFonts w:ascii="Times New Roman" w:hAnsi="Times New Roman"/>
        </w:rPr>
        <w:t xml:space="preserve">Table </w:t>
      </w:r>
      <w:r w:rsidR="00A07138">
        <w:rPr>
          <w:rFonts w:ascii="Times New Roman" w:hAnsi="Times New Roman"/>
        </w:rPr>
        <w:t>3</w:t>
      </w:r>
      <w:r w:rsidRPr="001A4989">
        <w:rPr>
          <w:rFonts w:ascii="Times New Roman" w:hAnsi="Times New Roman"/>
        </w:rPr>
        <w:t>: Number of PSAPS with Other Various Alternative Measures</w:t>
      </w:r>
      <w:bookmarkEnd w:id="12"/>
      <w:bookmarkEnd w:id="13"/>
    </w:p>
    <w:p w:rsidR="003860B2" w:rsidRPr="001A4989" w:rsidP="003860B2" w14:paraId="50B6BE20" w14:textId="77777777">
      <w:pPr>
        <w:rPr>
          <w:rFonts w:ascii="Times New Roman" w:hAnsi="Times New Roman"/>
        </w:rPr>
      </w:pPr>
      <w:r w:rsidRPr="001A4989">
        <w:rPr>
          <w:rFonts w:ascii="Times New Roman" w:hAnsi="Times New Roman"/>
        </w:rPr>
        <w:t xml:space="preserve">We note that all </w:t>
      </w:r>
      <w:r w:rsidRPr="001A4989" w:rsidR="009E7D70">
        <w:rPr>
          <w:rFonts w:ascii="Times New Roman" w:hAnsi="Times New Roman"/>
        </w:rPr>
        <w:t>covered entities</w:t>
      </w:r>
      <w:r w:rsidRPr="001A4989">
        <w:rPr>
          <w:rFonts w:ascii="Times New Roman" w:hAnsi="Times New Roman"/>
        </w:rPr>
        <w:t xml:space="preserve"> (except one)</w:t>
      </w:r>
      <w:r>
        <w:rPr>
          <w:rStyle w:val="FootnoteReference"/>
          <w:rFonts w:ascii="Times New Roman" w:hAnsi="Times New Roman"/>
        </w:rPr>
        <w:footnoteReference w:id="18"/>
      </w:r>
      <w:r w:rsidRPr="001A4989">
        <w:rPr>
          <w:rFonts w:ascii="Times New Roman" w:hAnsi="Times New Roman"/>
        </w:rPr>
        <w:t xml:space="preserve"> indicated that their 911 circuits are tagged</w:t>
      </w:r>
      <w:r w:rsidRPr="001A4989" w:rsidR="005B6D6F">
        <w:rPr>
          <w:rFonts w:ascii="Times New Roman" w:hAnsi="Times New Roman"/>
        </w:rPr>
        <w:t xml:space="preserve"> </w:t>
      </w:r>
      <w:r w:rsidRPr="001A4989" w:rsidR="0055488E">
        <w:rPr>
          <w:rFonts w:ascii="Times New Roman" w:hAnsi="Times New Roman"/>
        </w:rPr>
        <w:t>to reduce</w:t>
      </w:r>
      <w:r w:rsidRPr="001A4989" w:rsidR="00042B4B">
        <w:rPr>
          <w:rFonts w:ascii="Times New Roman" w:hAnsi="Times New Roman"/>
        </w:rPr>
        <w:t xml:space="preserve"> the</w:t>
      </w:r>
      <w:r w:rsidRPr="001A4989" w:rsidR="0055488E">
        <w:rPr>
          <w:rFonts w:ascii="Times New Roman" w:hAnsi="Times New Roman"/>
        </w:rPr>
        <w:t xml:space="preserve"> risk of inadvertent loss of diversity between audits.</w:t>
      </w:r>
      <w:r>
        <w:rPr>
          <w:rStyle w:val="FootnoteReference"/>
          <w:rFonts w:ascii="Times New Roman" w:hAnsi="Times New Roman"/>
        </w:rPr>
        <w:footnoteReference w:id="19"/>
      </w:r>
      <w:r w:rsidRPr="001A4989" w:rsidR="0055488E">
        <w:rPr>
          <w:rFonts w:ascii="Times New Roman" w:hAnsi="Times New Roman"/>
        </w:rPr>
        <w:t xml:space="preserve"> </w:t>
      </w:r>
      <w:r w:rsidRPr="001A4989" w:rsidR="00956132">
        <w:rPr>
          <w:rFonts w:ascii="Times New Roman" w:hAnsi="Times New Roman"/>
        </w:rPr>
        <w:t xml:space="preserve"> </w:t>
      </w:r>
    </w:p>
    <w:p w:rsidR="005C6727" w:rsidRPr="001A4989" w:rsidP="00C97710" w14:paraId="1C257621" w14:textId="77777777">
      <w:pPr>
        <w:pStyle w:val="Heading2"/>
        <w:numPr>
          <w:ilvl w:val="0"/>
          <w:numId w:val="10"/>
        </w:numPr>
        <w:ind w:left="720"/>
        <w:rPr>
          <w:rFonts w:ascii="Times New Roman" w:hAnsi="Times New Roman"/>
          <w:sz w:val="28"/>
        </w:rPr>
      </w:pPr>
      <w:bookmarkStart w:id="14" w:name="_Toc513123979"/>
      <w:r w:rsidRPr="001A4989">
        <w:rPr>
          <w:rFonts w:ascii="Times New Roman" w:hAnsi="Times New Roman"/>
          <w:sz w:val="28"/>
        </w:rPr>
        <w:t>Back</w:t>
      </w:r>
      <w:r w:rsidRPr="001A4989" w:rsidR="00710FA5">
        <w:rPr>
          <w:rFonts w:ascii="Times New Roman" w:hAnsi="Times New Roman"/>
          <w:sz w:val="28"/>
        </w:rPr>
        <w:t>u</w:t>
      </w:r>
      <w:r w:rsidRPr="001A4989">
        <w:rPr>
          <w:rFonts w:ascii="Times New Roman" w:hAnsi="Times New Roman"/>
          <w:sz w:val="28"/>
        </w:rPr>
        <w:t>p Power</w:t>
      </w:r>
      <w:bookmarkEnd w:id="14"/>
    </w:p>
    <w:p w:rsidR="00155E17" w:rsidRPr="001A4989" w:rsidP="008F3DE6" w14:paraId="64317EF7" w14:textId="77777777">
      <w:pPr>
        <w:rPr>
          <w:rFonts w:ascii="Times New Roman" w:hAnsi="Times New Roman"/>
          <w:color w:val="000000"/>
        </w:rPr>
      </w:pPr>
      <w:r w:rsidRPr="001A4989">
        <w:rPr>
          <w:rFonts w:ascii="Times New Roman" w:hAnsi="Times New Roman"/>
          <w:color w:val="000000"/>
        </w:rPr>
        <w:t xml:space="preserve">The Commission’s rules </w:t>
      </w:r>
      <w:r w:rsidRPr="001A4989" w:rsidR="0003684D">
        <w:rPr>
          <w:rFonts w:ascii="Times New Roman" w:hAnsi="Times New Roman"/>
          <w:color w:val="000000"/>
        </w:rPr>
        <w:t xml:space="preserve">require </w:t>
      </w:r>
      <w:r w:rsidRPr="001A4989">
        <w:rPr>
          <w:rFonts w:ascii="Times New Roman" w:hAnsi="Times New Roman"/>
          <w:color w:val="000000"/>
        </w:rPr>
        <w:t xml:space="preserve">that </w:t>
      </w:r>
      <w:r w:rsidRPr="001A4989" w:rsidR="009E7D70">
        <w:rPr>
          <w:rFonts w:ascii="Times New Roman" w:hAnsi="Times New Roman"/>
          <w:color w:val="000000"/>
        </w:rPr>
        <w:t>covered entities</w:t>
      </w:r>
      <w:r w:rsidRPr="001A4989" w:rsidR="0003684D">
        <w:rPr>
          <w:rFonts w:ascii="Times New Roman" w:hAnsi="Times New Roman"/>
          <w:color w:val="000000"/>
        </w:rPr>
        <w:t xml:space="preserve"> certify annually </w:t>
      </w:r>
      <w:r w:rsidRPr="001A4989">
        <w:rPr>
          <w:rFonts w:ascii="Times New Roman" w:hAnsi="Times New Roman"/>
          <w:color w:val="000000"/>
        </w:rPr>
        <w:t xml:space="preserve">whether </w:t>
      </w:r>
      <w:r w:rsidRPr="001A4989" w:rsidR="0003684D">
        <w:rPr>
          <w:rFonts w:ascii="Times New Roman" w:hAnsi="Times New Roman"/>
          <w:color w:val="000000"/>
        </w:rPr>
        <w:t>they</w:t>
      </w:r>
      <w:r w:rsidRPr="001A4989">
        <w:rPr>
          <w:rFonts w:ascii="Times New Roman" w:hAnsi="Times New Roman"/>
          <w:color w:val="000000"/>
        </w:rPr>
        <w:t xml:space="preserve"> provision and maintain backup power equipment for every central office</w:t>
      </w:r>
      <w:r w:rsidRPr="001A4989" w:rsidR="00952C7F">
        <w:rPr>
          <w:rFonts w:ascii="Times New Roman" w:hAnsi="Times New Roman"/>
          <w:color w:val="000000"/>
        </w:rPr>
        <w:t xml:space="preserve"> </w:t>
      </w:r>
      <w:r w:rsidRPr="001A4989" w:rsidR="000C58DA">
        <w:rPr>
          <w:rFonts w:ascii="Times New Roman" w:hAnsi="Times New Roman"/>
          <w:color w:val="000000"/>
        </w:rPr>
        <w:t>they</w:t>
      </w:r>
      <w:r w:rsidRPr="001A4989">
        <w:rPr>
          <w:rFonts w:ascii="Times New Roman" w:hAnsi="Times New Roman"/>
          <w:color w:val="000000"/>
        </w:rPr>
        <w:t xml:space="preserve"> operate that directly serves a PSAP.</w:t>
      </w:r>
      <w:r>
        <w:rPr>
          <w:rStyle w:val="FootnoteReference"/>
          <w:rFonts w:ascii="Times New Roman" w:hAnsi="Times New Roman"/>
          <w:color w:val="000000"/>
        </w:rPr>
        <w:footnoteReference w:id="20"/>
      </w:r>
      <w:r w:rsidRPr="001A4989">
        <w:rPr>
          <w:rFonts w:ascii="Times New Roman" w:hAnsi="Times New Roman"/>
          <w:color w:val="000000"/>
        </w:rPr>
        <w:t xml:space="preserve">  </w:t>
      </w:r>
      <w:r w:rsidRPr="001A4989" w:rsidR="009E7D70">
        <w:rPr>
          <w:rFonts w:ascii="Times New Roman" w:hAnsi="Times New Roman"/>
          <w:color w:val="000000"/>
        </w:rPr>
        <w:t>Covered entities</w:t>
      </w:r>
      <w:r w:rsidRPr="001A4989">
        <w:rPr>
          <w:rFonts w:ascii="Times New Roman" w:hAnsi="Times New Roman"/>
          <w:color w:val="000000"/>
        </w:rPr>
        <w:t xml:space="preserve"> may </w:t>
      </w:r>
      <w:r w:rsidRPr="001A4989" w:rsidR="00D74466">
        <w:rPr>
          <w:rFonts w:ascii="Times New Roman" w:hAnsi="Times New Roman"/>
          <w:color w:val="000000"/>
        </w:rPr>
        <w:t xml:space="preserve">certify that </w:t>
      </w:r>
      <w:r w:rsidRPr="001A4989" w:rsidR="00B3518B">
        <w:rPr>
          <w:rFonts w:ascii="Times New Roman" w:hAnsi="Times New Roman"/>
          <w:color w:val="000000"/>
        </w:rPr>
        <w:t xml:space="preserve">they </w:t>
      </w:r>
      <w:r w:rsidRPr="001A4989" w:rsidR="00D74466">
        <w:rPr>
          <w:rFonts w:ascii="Times New Roman" w:hAnsi="Times New Roman"/>
          <w:color w:val="000000"/>
        </w:rPr>
        <w:t xml:space="preserve">provide backup power to central offices in one of two ways: (1) </w:t>
      </w:r>
      <w:r w:rsidRPr="001A4989">
        <w:rPr>
          <w:rFonts w:ascii="Times New Roman" w:hAnsi="Times New Roman"/>
          <w:color w:val="000000"/>
        </w:rPr>
        <w:t xml:space="preserve">through the use of fixed generators, portable generators, batteries, fuel cells, or </w:t>
      </w:r>
      <w:r w:rsidRPr="001A4989" w:rsidR="00D74466">
        <w:rPr>
          <w:rFonts w:ascii="Times New Roman" w:hAnsi="Times New Roman"/>
          <w:color w:val="000000"/>
        </w:rPr>
        <w:t>a combination of these methods;</w:t>
      </w:r>
      <w:r>
        <w:rPr>
          <w:rStyle w:val="FootnoteReference"/>
          <w:rFonts w:ascii="Times New Roman" w:hAnsi="Times New Roman"/>
          <w:color w:val="000000"/>
        </w:rPr>
        <w:footnoteReference w:id="21"/>
      </w:r>
      <w:r w:rsidRPr="001A4989" w:rsidR="00D74466">
        <w:rPr>
          <w:rFonts w:ascii="Times New Roman" w:hAnsi="Times New Roman"/>
          <w:color w:val="000000"/>
        </w:rPr>
        <w:t xml:space="preserve"> or (2) through alternative measures.</w:t>
      </w:r>
      <w:r>
        <w:rPr>
          <w:rStyle w:val="FootnoteReference"/>
          <w:rFonts w:ascii="Times New Roman" w:hAnsi="Times New Roman"/>
          <w:color w:val="000000"/>
        </w:rPr>
        <w:footnoteReference w:id="22"/>
      </w:r>
    </w:p>
    <w:p w:rsidR="008723A3" w:rsidRPr="001A4989" w:rsidP="008F3DE6" w14:paraId="59E0C5A9" w14:textId="6B59705C">
      <w:pPr>
        <w:rPr>
          <w:rFonts w:ascii="Times New Roman" w:hAnsi="Times New Roman"/>
          <w:color w:val="000000"/>
        </w:rPr>
      </w:pPr>
      <w:r w:rsidRPr="001A4989">
        <w:rPr>
          <w:rFonts w:ascii="Times New Roman" w:hAnsi="Times New Roman"/>
        </w:rPr>
        <w:t>Under the Commission’s rules, covered entities are required to certify whether each central office providing circuits to one or more PSAPs had 72 hours of backup power for selective routers and 24 hours for non-selective routers.</w:t>
      </w:r>
      <w:r>
        <w:rPr>
          <w:rStyle w:val="FootnoteReference"/>
          <w:rFonts w:ascii="Times New Roman" w:hAnsi="Times New Roman"/>
        </w:rPr>
        <w:footnoteReference w:id="23"/>
      </w:r>
      <w:r w:rsidRPr="001A4989">
        <w:rPr>
          <w:rFonts w:ascii="Times New Roman" w:hAnsi="Times New Roman"/>
        </w:rPr>
        <w:t xml:space="preserve">  </w:t>
      </w:r>
      <w:r w:rsidRPr="001A4989" w:rsidR="009E7D70">
        <w:rPr>
          <w:rFonts w:ascii="Times New Roman" w:hAnsi="Times New Roman"/>
          <w:color w:val="000000"/>
        </w:rPr>
        <w:t>Covered entities</w:t>
      </w:r>
      <w:r w:rsidRPr="001A4989" w:rsidR="00BC2829">
        <w:rPr>
          <w:rFonts w:ascii="Times New Roman" w:hAnsi="Times New Roman"/>
          <w:color w:val="000000"/>
        </w:rPr>
        <w:t xml:space="preserve"> indicated that 98 </w:t>
      </w:r>
      <w:r w:rsidRPr="001A4989" w:rsidR="0004269E">
        <w:rPr>
          <w:rFonts w:ascii="Times New Roman" w:hAnsi="Times New Roman"/>
          <w:color w:val="000000"/>
        </w:rPr>
        <w:t>percent of</w:t>
      </w:r>
      <w:r w:rsidRPr="001A4989" w:rsidR="00790C0C">
        <w:rPr>
          <w:rFonts w:ascii="Times New Roman" w:hAnsi="Times New Roman"/>
          <w:color w:val="000000"/>
        </w:rPr>
        <w:t xml:space="preserve"> central offices serving PSAPs </w:t>
      </w:r>
      <w:r w:rsidR="00582548">
        <w:rPr>
          <w:rFonts w:ascii="Times New Roman" w:hAnsi="Times New Roman"/>
          <w:color w:val="000000"/>
        </w:rPr>
        <w:t xml:space="preserve">directly </w:t>
      </w:r>
      <w:r w:rsidRPr="001A4989" w:rsidR="00BC2829">
        <w:rPr>
          <w:rFonts w:ascii="Times New Roman" w:hAnsi="Times New Roman"/>
          <w:color w:val="000000"/>
        </w:rPr>
        <w:t xml:space="preserve">satisfy the </w:t>
      </w:r>
      <w:r w:rsidRPr="001A4989" w:rsidR="00790C0C">
        <w:rPr>
          <w:rFonts w:ascii="Times New Roman" w:hAnsi="Times New Roman"/>
          <w:color w:val="000000"/>
        </w:rPr>
        <w:t>certification elements for backup power</w:t>
      </w:r>
      <w:r w:rsidR="00582548">
        <w:rPr>
          <w:rFonts w:ascii="Times New Roman" w:hAnsi="Times New Roman"/>
          <w:color w:val="000000"/>
        </w:rPr>
        <w:t xml:space="preserve"> </w:t>
      </w:r>
      <w:r w:rsidR="002D293E">
        <w:rPr>
          <w:rFonts w:ascii="Times New Roman" w:hAnsi="Times New Roman"/>
          <w:color w:val="000000"/>
        </w:rPr>
        <w:t>with respect to</w:t>
      </w:r>
      <w:r w:rsidR="00582548">
        <w:rPr>
          <w:rFonts w:ascii="Times New Roman" w:hAnsi="Times New Roman"/>
          <w:color w:val="000000"/>
        </w:rPr>
        <w:t xml:space="preserve"> the amount of back-up power</w:t>
      </w:r>
      <w:r w:rsidRPr="001A4989" w:rsidR="00790C0C">
        <w:rPr>
          <w:rFonts w:ascii="Times New Roman" w:hAnsi="Times New Roman"/>
          <w:color w:val="000000"/>
        </w:rPr>
        <w:t>.</w:t>
      </w:r>
      <w:r>
        <w:rPr>
          <w:rStyle w:val="FootnoteReference"/>
          <w:rFonts w:ascii="Times New Roman" w:hAnsi="Times New Roman"/>
          <w:color w:val="000000"/>
        </w:rPr>
        <w:footnoteReference w:id="24"/>
      </w:r>
      <w:r w:rsidRPr="001A4989" w:rsidR="00790C0C">
        <w:rPr>
          <w:rFonts w:ascii="Times New Roman" w:hAnsi="Times New Roman"/>
          <w:color w:val="000000"/>
        </w:rPr>
        <w:t xml:space="preserve">  </w:t>
      </w:r>
      <w:r w:rsidRPr="001A4989" w:rsidR="007769EC">
        <w:rPr>
          <w:rFonts w:ascii="Times New Roman" w:hAnsi="Times New Roman"/>
          <w:color w:val="000000"/>
        </w:rPr>
        <w:t xml:space="preserve">All </w:t>
      </w:r>
      <w:r w:rsidRPr="001A4989" w:rsidR="009E7D70">
        <w:rPr>
          <w:rFonts w:ascii="Times New Roman" w:hAnsi="Times New Roman"/>
          <w:color w:val="000000"/>
        </w:rPr>
        <w:t>covered entities</w:t>
      </w:r>
      <w:r w:rsidRPr="001A4989" w:rsidR="00E51232">
        <w:rPr>
          <w:rFonts w:ascii="Times New Roman" w:hAnsi="Times New Roman"/>
          <w:color w:val="000000"/>
        </w:rPr>
        <w:t xml:space="preserve"> </w:t>
      </w:r>
      <w:r w:rsidRPr="001A4989" w:rsidR="007769EC">
        <w:rPr>
          <w:rFonts w:ascii="Times New Roman" w:hAnsi="Times New Roman"/>
          <w:color w:val="000000"/>
        </w:rPr>
        <w:t xml:space="preserve">certified that they </w:t>
      </w:r>
      <w:r w:rsidRPr="001A4989" w:rsidR="00617B18">
        <w:rPr>
          <w:rFonts w:ascii="Times New Roman" w:hAnsi="Times New Roman"/>
          <w:color w:val="000000"/>
        </w:rPr>
        <w:t xml:space="preserve">either directly meet or have </w:t>
      </w:r>
      <w:r w:rsidR="00C9361A">
        <w:rPr>
          <w:rFonts w:ascii="Times New Roman" w:hAnsi="Times New Roman" w:cs="Times New Roman"/>
          <w:color w:val="000000"/>
        </w:rPr>
        <w:t xml:space="preserve">implemented </w:t>
      </w:r>
      <w:r w:rsidRPr="001A4989" w:rsidR="00617B18">
        <w:rPr>
          <w:rFonts w:ascii="Times New Roman" w:hAnsi="Times New Roman"/>
          <w:color w:val="000000"/>
        </w:rPr>
        <w:t xml:space="preserve">alternative measures that address </w:t>
      </w:r>
      <w:r w:rsidR="00582548">
        <w:rPr>
          <w:rFonts w:ascii="Times New Roman" w:hAnsi="Times New Roman"/>
          <w:color w:val="000000"/>
        </w:rPr>
        <w:t xml:space="preserve">each of </w:t>
      </w:r>
      <w:r w:rsidRPr="001A4989" w:rsidR="00617B18">
        <w:rPr>
          <w:rFonts w:ascii="Times New Roman" w:hAnsi="Times New Roman"/>
          <w:color w:val="000000"/>
        </w:rPr>
        <w:t>the backup power certification element</w:t>
      </w:r>
      <w:r w:rsidR="00582548">
        <w:rPr>
          <w:rFonts w:ascii="Times New Roman" w:hAnsi="Times New Roman"/>
          <w:color w:val="000000"/>
        </w:rPr>
        <w:t>s</w:t>
      </w:r>
      <w:r w:rsidRPr="001A4989" w:rsidR="00617B18">
        <w:rPr>
          <w:rFonts w:ascii="Times New Roman" w:hAnsi="Times New Roman"/>
          <w:color w:val="000000"/>
        </w:rPr>
        <w:t xml:space="preserve">. </w:t>
      </w:r>
      <w:r w:rsidRPr="001A4989" w:rsidR="00956132">
        <w:rPr>
          <w:rFonts w:ascii="Times New Roman" w:hAnsi="Times New Roman"/>
          <w:color w:val="000000"/>
        </w:rPr>
        <w:t xml:space="preserve"> </w:t>
      </w:r>
      <w:r w:rsidRPr="001A4989" w:rsidR="00D604C7">
        <w:rPr>
          <w:rFonts w:ascii="Times New Roman" w:hAnsi="Times New Roman"/>
          <w:color w:val="000000"/>
        </w:rPr>
        <w:t xml:space="preserve">Some </w:t>
      </w:r>
      <w:r w:rsidRPr="001A4989" w:rsidR="009E7D70">
        <w:rPr>
          <w:rFonts w:ascii="Times New Roman" w:hAnsi="Times New Roman"/>
          <w:color w:val="000000"/>
        </w:rPr>
        <w:t>covered entities</w:t>
      </w:r>
      <w:r w:rsidRPr="001A4989" w:rsidR="00D604C7">
        <w:rPr>
          <w:rFonts w:ascii="Times New Roman" w:hAnsi="Times New Roman"/>
          <w:color w:val="000000"/>
        </w:rPr>
        <w:t xml:space="preserve"> </w:t>
      </w:r>
      <w:r w:rsidRPr="001A4989" w:rsidR="007A07D4">
        <w:rPr>
          <w:rFonts w:ascii="Times New Roman" w:hAnsi="Times New Roman"/>
          <w:color w:val="000000"/>
        </w:rPr>
        <w:t>rely exclusively on alternat</w:t>
      </w:r>
      <w:r w:rsidRPr="001A4989" w:rsidR="00162F8D">
        <w:rPr>
          <w:rFonts w:ascii="Times New Roman" w:hAnsi="Times New Roman"/>
          <w:color w:val="000000"/>
        </w:rPr>
        <w:t>ive</w:t>
      </w:r>
      <w:r w:rsidRPr="001A4989" w:rsidR="007A07D4">
        <w:rPr>
          <w:rFonts w:ascii="Times New Roman" w:hAnsi="Times New Roman"/>
          <w:color w:val="000000"/>
        </w:rPr>
        <w:t xml:space="preserve"> measures</w:t>
      </w:r>
      <w:r w:rsidRPr="001A4989" w:rsidR="009240C5">
        <w:rPr>
          <w:rFonts w:ascii="Times New Roman" w:hAnsi="Times New Roman"/>
          <w:color w:val="000000"/>
        </w:rPr>
        <w:t>,</w:t>
      </w:r>
      <w:r w:rsidRPr="001A4989" w:rsidR="007A07D4">
        <w:rPr>
          <w:rFonts w:ascii="Times New Roman" w:hAnsi="Times New Roman"/>
          <w:color w:val="000000"/>
        </w:rPr>
        <w:t xml:space="preserve"> while </w:t>
      </w:r>
      <w:r w:rsidR="00A07138">
        <w:rPr>
          <w:rFonts w:ascii="Times New Roman" w:hAnsi="Times New Roman"/>
          <w:color w:val="000000"/>
        </w:rPr>
        <w:t>others</w:t>
      </w:r>
      <w:r w:rsidRPr="001A4989">
        <w:rPr>
          <w:rFonts w:ascii="Times New Roman" w:hAnsi="Times New Roman"/>
          <w:color w:val="000000"/>
        </w:rPr>
        <w:t xml:space="preserve"> </w:t>
      </w:r>
      <w:r w:rsidRPr="001A4989" w:rsidR="009240C5">
        <w:rPr>
          <w:rFonts w:ascii="Times New Roman" w:hAnsi="Times New Roman"/>
          <w:color w:val="000000"/>
        </w:rPr>
        <w:t xml:space="preserve">directly meet the certification element in </w:t>
      </w:r>
      <w:r w:rsidRPr="001A4989" w:rsidR="00B81BE0">
        <w:rPr>
          <w:rFonts w:ascii="Times New Roman" w:hAnsi="Times New Roman"/>
          <w:color w:val="000000"/>
        </w:rPr>
        <w:t>some</w:t>
      </w:r>
      <w:r w:rsidRPr="001A4989" w:rsidR="00C9361A">
        <w:rPr>
          <w:rFonts w:ascii="Times New Roman" w:hAnsi="Times New Roman"/>
          <w:color w:val="000000"/>
        </w:rPr>
        <w:t xml:space="preserve"> cases, but otherwise </w:t>
      </w:r>
      <w:r w:rsidR="00C9361A">
        <w:rPr>
          <w:rFonts w:ascii="Times New Roman" w:hAnsi="Times New Roman" w:cs="Times New Roman"/>
          <w:color w:val="000000"/>
        </w:rPr>
        <w:t>have</w:t>
      </w:r>
      <w:r w:rsidRPr="006D51AD" w:rsidR="009240C5">
        <w:rPr>
          <w:rFonts w:ascii="Times New Roman" w:hAnsi="Times New Roman" w:cs="Times New Roman"/>
          <w:color w:val="000000"/>
        </w:rPr>
        <w:t xml:space="preserve"> </w:t>
      </w:r>
      <w:r w:rsidR="00C9361A">
        <w:rPr>
          <w:rFonts w:ascii="Times New Roman" w:hAnsi="Times New Roman" w:cs="Times New Roman"/>
          <w:color w:val="000000"/>
        </w:rPr>
        <w:t>implemented</w:t>
      </w:r>
      <w:r w:rsidRPr="001A4989" w:rsidR="00C9361A">
        <w:rPr>
          <w:rFonts w:ascii="Times New Roman" w:hAnsi="Times New Roman"/>
          <w:color w:val="000000"/>
        </w:rPr>
        <w:t xml:space="preserve"> </w:t>
      </w:r>
      <w:r w:rsidRPr="001A4989" w:rsidR="009240C5">
        <w:rPr>
          <w:rFonts w:ascii="Times New Roman" w:hAnsi="Times New Roman"/>
          <w:color w:val="000000"/>
        </w:rPr>
        <w:t xml:space="preserve">alternative measures for backup power. </w:t>
      </w:r>
    </w:p>
    <w:p w:rsidR="00EC7EE9" w:rsidRPr="001A4989" w:rsidP="008F3DE6" w14:paraId="1F0BCEDF" w14:textId="77777777">
      <w:pPr>
        <w:rPr>
          <w:rFonts w:ascii="Times New Roman" w:hAnsi="Times New Roman"/>
        </w:rPr>
      </w:pPr>
      <w:r w:rsidRPr="001A4989">
        <w:rPr>
          <w:rFonts w:ascii="Times New Roman" w:hAnsi="Times New Roman"/>
        </w:rPr>
        <w:t>The following table summariz</w:t>
      </w:r>
      <w:r w:rsidRPr="001A4989" w:rsidR="00B563BD">
        <w:rPr>
          <w:rFonts w:ascii="Times New Roman" w:hAnsi="Times New Roman"/>
        </w:rPr>
        <w:t>es</w:t>
      </w:r>
      <w:r w:rsidRPr="001A4989" w:rsidR="00790C0C">
        <w:rPr>
          <w:rFonts w:ascii="Times New Roman" w:hAnsi="Times New Roman"/>
        </w:rPr>
        <w:t xml:space="preserve"> the</w:t>
      </w:r>
      <w:r w:rsidRPr="001A4989">
        <w:rPr>
          <w:rFonts w:ascii="Times New Roman" w:hAnsi="Times New Roman"/>
        </w:rPr>
        <w:t xml:space="preserve"> certification</w:t>
      </w:r>
      <w:r w:rsidRPr="001A4989" w:rsidR="00B563BD">
        <w:rPr>
          <w:rFonts w:ascii="Times New Roman" w:hAnsi="Times New Roman"/>
        </w:rPr>
        <w:t>s</w:t>
      </w:r>
      <w:r w:rsidRPr="001A4989">
        <w:rPr>
          <w:rFonts w:ascii="Times New Roman" w:hAnsi="Times New Roman"/>
        </w:rPr>
        <w:t xml:space="preserve"> on backup power:  </w:t>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970"/>
        <w:gridCol w:w="1530"/>
      </w:tblGrid>
      <w:tr w14:paraId="15A85FCA" w14:textId="77777777" w:rsidTr="003B2A61">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10"/>
          <w:jc w:val="center"/>
        </w:trPr>
        <w:tc>
          <w:tcPr>
            <w:tcW w:w="2970" w:type="dxa"/>
            <w:hideMark/>
          </w:tcPr>
          <w:p w:rsidR="003B2A61" w:rsidRPr="001A4989" w:rsidP="003B2A61" w14:paraId="230BF8C3" w14:textId="77777777">
            <w:pPr>
              <w:spacing w:after="0" w:line="240" w:lineRule="auto"/>
              <w:jc w:val="center"/>
              <w:rPr>
                <w:rStyle w:val="DefaultParagraphFont"/>
                <w:rFonts w:ascii="Times New Roman" w:hAnsi="Times New Roman" w:eastAsiaTheme="minorHAnsi" w:cstheme="minorBidi"/>
                <w:b/>
                <w:color w:val="000000"/>
                <w:sz w:val="20"/>
                <w:szCs w:val="22"/>
                <w:lang w:val="en-US" w:eastAsia="en-US" w:bidi="ar-SA"/>
              </w:rPr>
            </w:pPr>
            <w:r w:rsidRPr="001A4989">
              <w:rPr>
                <w:rFonts w:ascii="Times New Roman" w:hAnsi="Times New Roman" w:eastAsiaTheme="minorHAnsi" w:cstheme="minorBidi"/>
                <w:b/>
                <w:color w:val="000000"/>
                <w:sz w:val="20"/>
                <w:szCs w:val="22"/>
                <w:lang w:val="en-US" w:eastAsia="en-US" w:bidi="ar-SA"/>
              </w:rPr>
              <w:t>Backup Power Requirements for Central Offices</w:t>
            </w:r>
          </w:p>
        </w:tc>
        <w:tc>
          <w:tcPr>
            <w:tcW w:w="1530" w:type="dxa"/>
            <w:hideMark/>
          </w:tcPr>
          <w:p w:rsidR="003B2A61" w:rsidRPr="001A4989" w:rsidP="00142CCB" w14:paraId="1D5309B6" w14:textId="77777777">
            <w:pPr>
              <w:spacing w:after="0" w:line="240" w:lineRule="auto"/>
              <w:jc w:val="center"/>
              <w:rPr>
                <w:rStyle w:val="DefaultParagraphFont"/>
                <w:rFonts w:ascii="Times New Roman" w:hAnsi="Times New Roman" w:eastAsiaTheme="minorHAnsi" w:cstheme="minorBidi"/>
                <w:b/>
                <w:color w:val="000000"/>
                <w:sz w:val="20"/>
                <w:szCs w:val="22"/>
                <w:lang w:val="en-US" w:eastAsia="en-US" w:bidi="ar-SA"/>
              </w:rPr>
            </w:pPr>
            <w:r w:rsidRPr="001A4989">
              <w:rPr>
                <w:rFonts w:ascii="Times New Roman" w:hAnsi="Times New Roman" w:eastAsiaTheme="minorHAnsi" w:cstheme="minorBidi"/>
                <w:b/>
                <w:color w:val="000000"/>
                <w:sz w:val="20"/>
                <w:szCs w:val="22"/>
                <w:lang w:val="en-US" w:eastAsia="en-US" w:bidi="ar-SA"/>
              </w:rPr>
              <w:t xml:space="preserve">Number </w:t>
            </w:r>
            <w:r w:rsidRPr="001A4989" w:rsidR="006F6222">
              <w:rPr>
                <w:rFonts w:ascii="Times New Roman" w:hAnsi="Times New Roman" w:eastAsiaTheme="minorHAnsi" w:cstheme="minorBidi"/>
                <w:b/>
                <w:color w:val="000000"/>
                <w:sz w:val="20"/>
                <w:szCs w:val="22"/>
                <w:lang w:val="en-US" w:eastAsia="en-US" w:bidi="ar-SA"/>
              </w:rPr>
              <w:t>o</w:t>
            </w:r>
            <w:r w:rsidRPr="001A4989">
              <w:rPr>
                <w:rFonts w:ascii="Times New Roman" w:hAnsi="Times New Roman" w:eastAsiaTheme="minorHAnsi" w:cstheme="minorBidi"/>
                <w:b/>
                <w:color w:val="000000"/>
                <w:sz w:val="20"/>
                <w:szCs w:val="22"/>
                <w:lang w:val="en-US" w:eastAsia="en-US" w:bidi="ar-SA"/>
              </w:rPr>
              <w:t xml:space="preserve">f </w:t>
            </w:r>
            <w:r w:rsidRPr="006D51AD" w:rsidR="00142CCB">
              <w:rPr>
                <w:rFonts w:ascii="Times New Roman" w:eastAsia="Times New Roman" w:hAnsi="Times New Roman" w:cs="Times New Roman"/>
                <w:b/>
                <w:bCs/>
                <w:color w:val="000000"/>
                <w:sz w:val="20"/>
                <w:szCs w:val="20"/>
                <w:lang w:val="en-US" w:eastAsia="en-US" w:bidi="ar-SA"/>
              </w:rPr>
              <w:t>Co</w:t>
            </w:r>
            <w:r w:rsidR="00142CCB">
              <w:rPr>
                <w:rFonts w:ascii="Times New Roman" w:eastAsia="Times New Roman" w:hAnsi="Times New Roman" w:cs="Times New Roman"/>
                <w:b/>
                <w:bCs/>
                <w:color w:val="000000"/>
                <w:sz w:val="20"/>
                <w:szCs w:val="20"/>
                <w:lang w:val="en-US" w:eastAsia="en-US" w:bidi="ar-SA"/>
              </w:rPr>
              <w:t>vered Entities</w:t>
            </w:r>
          </w:p>
        </w:tc>
      </w:tr>
      <w:tr w14:paraId="1FB3FE66" w14:textId="77777777" w:rsidTr="003B2A61">
        <w:tblPrEx>
          <w:tblW w:w="0" w:type="auto"/>
          <w:jc w:val="center"/>
          <w:tblInd w:w="0" w:type="dxa"/>
          <w:tblCellMar>
            <w:top w:w="0" w:type="dxa"/>
            <w:left w:w="108" w:type="dxa"/>
            <w:bottom w:w="0" w:type="dxa"/>
            <w:right w:w="108" w:type="dxa"/>
          </w:tblCellMar>
          <w:tblLook w:val="04A0"/>
        </w:tblPrEx>
        <w:trPr>
          <w:trHeight w:val="300"/>
          <w:jc w:val="center"/>
        </w:trPr>
        <w:tc>
          <w:tcPr>
            <w:tcW w:w="2970" w:type="dxa"/>
            <w:hideMark/>
          </w:tcPr>
          <w:p w:rsidR="003B2A61" w:rsidRPr="001A4989" w:rsidP="003B2A61" w14:paraId="776F8599" w14:textId="77777777">
            <w:pPr>
              <w:spacing w:after="0" w:line="240" w:lineRule="auto"/>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Yes for all central offices</w:t>
            </w:r>
          </w:p>
        </w:tc>
        <w:tc>
          <w:tcPr>
            <w:tcW w:w="1530" w:type="dxa"/>
            <w:hideMark/>
          </w:tcPr>
          <w:p w:rsidR="003B2A61" w:rsidRPr="001A4989" w:rsidP="003B2A61" w14:paraId="0C6527C9" w14:textId="77777777">
            <w:pPr>
              <w:spacing w:after="0" w:line="240" w:lineRule="auto"/>
              <w:jc w:val="right"/>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165</w:t>
            </w:r>
          </w:p>
        </w:tc>
      </w:tr>
      <w:tr w14:paraId="1DFD2984" w14:textId="77777777" w:rsidTr="003B2A61">
        <w:tblPrEx>
          <w:tblW w:w="0" w:type="auto"/>
          <w:jc w:val="center"/>
          <w:tblInd w:w="0" w:type="dxa"/>
          <w:tblCellMar>
            <w:top w:w="0" w:type="dxa"/>
            <w:left w:w="108" w:type="dxa"/>
            <w:bottom w:w="0" w:type="dxa"/>
            <w:right w:w="108" w:type="dxa"/>
          </w:tblCellMar>
          <w:tblLook w:val="04A0"/>
        </w:tblPrEx>
        <w:trPr>
          <w:trHeight w:val="780"/>
          <w:jc w:val="center"/>
        </w:trPr>
        <w:tc>
          <w:tcPr>
            <w:tcW w:w="2970" w:type="dxa"/>
            <w:hideMark/>
          </w:tcPr>
          <w:p w:rsidR="003B2A61" w:rsidRPr="001A4989" w:rsidP="003B2A61" w14:paraId="57334141" w14:textId="77777777">
            <w:pPr>
              <w:spacing w:after="0" w:line="240" w:lineRule="auto"/>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Yes for some central offices but alternative measures for other central offices</w:t>
            </w:r>
          </w:p>
        </w:tc>
        <w:tc>
          <w:tcPr>
            <w:tcW w:w="1530" w:type="dxa"/>
            <w:hideMark/>
          </w:tcPr>
          <w:p w:rsidR="003B2A61" w:rsidRPr="001A4989" w:rsidP="003B2A61" w14:paraId="645B4F46" w14:textId="77777777">
            <w:pPr>
              <w:spacing w:after="0" w:line="240" w:lineRule="auto"/>
              <w:jc w:val="right"/>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4</w:t>
            </w:r>
          </w:p>
        </w:tc>
      </w:tr>
      <w:tr w14:paraId="2E51FB81" w14:textId="77777777" w:rsidTr="003B2A61">
        <w:tblPrEx>
          <w:tblW w:w="0" w:type="auto"/>
          <w:jc w:val="center"/>
          <w:tblInd w:w="0" w:type="dxa"/>
          <w:tblCellMar>
            <w:top w:w="0" w:type="dxa"/>
            <w:left w:w="108" w:type="dxa"/>
            <w:bottom w:w="0" w:type="dxa"/>
            <w:right w:w="108" w:type="dxa"/>
          </w:tblCellMar>
          <w:tblLook w:val="04A0"/>
        </w:tblPrEx>
        <w:trPr>
          <w:trHeight w:val="1035"/>
          <w:jc w:val="center"/>
        </w:trPr>
        <w:tc>
          <w:tcPr>
            <w:tcW w:w="2970" w:type="dxa"/>
            <w:hideMark/>
          </w:tcPr>
          <w:p w:rsidR="003B2A61" w:rsidRPr="001A4989" w:rsidP="003B2A61" w14:paraId="142E74D0" w14:textId="77777777">
            <w:pPr>
              <w:spacing w:after="0" w:line="240" w:lineRule="auto"/>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No, but alternative measures for all central offices that directly serve a PSAP or host a selective router</w:t>
            </w:r>
          </w:p>
        </w:tc>
        <w:tc>
          <w:tcPr>
            <w:tcW w:w="1530" w:type="dxa"/>
            <w:hideMark/>
          </w:tcPr>
          <w:p w:rsidR="003B2A61" w:rsidRPr="001A4989" w:rsidP="003B2A61" w14:paraId="55440A75" w14:textId="77777777">
            <w:pPr>
              <w:spacing w:after="0" w:line="240" w:lineRule="auto"/>
              <w:jc w:val="right"/>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9</w:t>
            </w:r>
          </w:p>
        </w:tc>
      </w:tr>
      <w:tr w14:paraId="00871966" w14:textId="77777777" w:rsidTr="003B2A61">
        <w:tblPrEx>
          <w:tblW w:w="0" w:type="auto"/>
          <w:jc w:val="center"/>
          <w:tblInd w:w="0" w:type="dxa"/>
          <w:tblCellMar>
            <w:top w:w="0" w:type="dxa"/>
            <w:left w:w="108" w:type="dxa"/>
            <w:bottom w:w="0" w:type="dxa"/>
            <w:right w:w="108" w:type="dxa"/>
          </w:tblCellMar>
          <w:tblLook w:val="04A0"/>
        </w:tblPrEx>
        <w:trPr>
          <w:trHeight w:val="300"/>
          <w:jc w:val="center"/>
        </w:trPr>
        <w:tc>
          <w:tcPr>
            <w:tcW w:w="2970" w:type="dxa"/>
            <w:hideMark/>
          </w:tcPr>
          <w:p w:rsidR="003B2A61" w:rsidRPr="001A4989" w:rsidP="003B2A61" w14:paraId="1A2A44E7" w14:textId="77777777">
            <w:pPr>
              <w:spacing w:after="0" w:line="240" w:lineRule="auto"/>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No</w:t>
            </w:r>
          </w:p>
        </w:tc>
        <w:tc>
          <w:tcPr>
            <w:tcW w:w="1530" w:type="dxa"/>
            <w:hideMark/>
          </w:tcPr>
          <w:p w:rsidR="003B2A61" w:rsidRPr="001A4989" w:rsidP="003B2A61" w14:paraId="62A21EDE" w14:textId="77777777">
            <w:pPr>
              <w:spacing w:after="0" w:line="240" w:lineRule="auto"/>
              <w:jc w:val="right"/>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1</w:t>
            </w:r>
          </w:p>
        </w:tc>
      </w:tr>
      <w:tr w14:paraId="7B846E13" w14:textId="77777777" w:rsidTr="003B2A61">
        <w:tblPrEx>
          <w:tblW w:w="0" w:type="auto"/>
          <w:jc w:val="center"/>
          <w:tblInd w:w="0" w:type="dxa"/>
          <w:tblCellMar>
            <w:top w:w="0" w:type="dxa"/>
            <w:left w:w="108" w:type="dxa"/>
            <w:bottom w:w="0" w:type="dxa"/>
            <w:right w:w="108" w:type="dxa"/>
          </w:tblCellMar>
          <w:tblLook w:val="04A0"/>
        </w:tblPrEx>
        <w:trPr>
          <w:trHeight w:val="300"/>
          <w:jc w:val="center"/>
        </w:trPr>
        <w:tc>
          <w:tcPr>
            <w:tcW w:w="2970" w:type="dxa"/>
            <w:hideMark/>
          </w:tcPr>
          <w:p w:rsidR="003B2A61" w:rsidRPr="001A4989" w:rsidP="003B2A61" w14:paraId="59E5FD00" w14:textId="77777777">
            <w:pPr>
              <w:spacing w:after="0" w:line="240" w:lineRule="auto"/>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Not applicable</w:t>
            </w:r>
          </w:p>
        </w:tc>
        <w:tc>
          <w:tcPr>
            <w:tcW w:w="1530" w:type="dxa"/>
            <w:hideMark/>
          </w:tcPr>
          <w:p w:rsidR="003B2A61" w:rsidRPr="001A4989" w:rsidP="003B2A61" w14:paraId="6727C383" w14:textId="77777777">
            <w:pPr>
              <w:spacing w:after="0" w:line="240" w:lineRule="auto"/>
              <w:jc w:val="right"/>
              <w:rPr>
                <w:rStyle w:val="DefaultParagraphFont"/>
                <w:rFonts w:ascii="Times New Roman" w:hAnsi="Times New Roman" w:eastAsiaTheme="minorHAnsi" w:cstheme="minorBidi"/>
                <w:color w:val="000000"/>
                <w:sz w:val="20"/>
                <w:szCs w:val="22"/>
                <w:lang w:val="en-US" w:eastAsia="en-US" w:bidi="ar-SA"/>
              </w:rPr>
            </w:pPr>
            <w:r w:rsidRPr="001A4989">
              <w:rPr>
                <w:rFonts w:ascii="Times New Roman" w:hAnsi="Times New Roman" w:eastAsiaTheme="minorHAnsi" w:cstheme="minorBidi"/>
                <w:color w:val="000000"/>
                <w:sz w:val="20"/>
                <w:szCs w:val="22"/>
                <w:lang w:val="en-US" w:eastAsia="en-US" w:bidi="ar-SA"/>
              </w:rPr>
              <w:t>9</w:t>
            </w:r>
          </w:p>
        </w:tc>
      </w:tr>
      <w:tr w14:paraId="79D54270" w14:textId="77777777" w:rsidTr="003B2A61">
        <w:tblPrEx>
          <w:tblW w:w="0" w:type="auto"/>
          <w:jc w:val="center"/>
          <w:tblInd w:w="0" w:type="dxa"/>
          <w:tblCellMar>
            <w:top w:w="0" w:type="dxa"/>
            <w:left w:w="108" w:type="dxa"/>
            <w:bottom w:w="0" w:type="dxa"/>
            <w:right w:w="108" w:type="dxa"/>
          </w:tblCellMar>
          <w:tblLook w:val="04A0"/>
        </w:tblPrEx>
        <w:trPr>
          <w:trHeight w:val="300"/>
          <w:jc w:val="center"/>
        </w:trPr>
        <w:tc>
          <w:tcPr>
            <w:tcW w:w="2970" w:type="dxa"/>
            <w:hideMark/>
          </w:tcPr>
          <w:p w:rsidR="003B2A61" w:rsidRPr="001A4989" w:rsidP="003B2A61" w14:paraId="227FC7EA" w14:textId="77777777">
            <w:pPr>
              <w:spacing w:after="0" w:line="240" w:lineRule="auto"/>
              <w:rPr>
                <w:rStyle w:val="DefaultParagraphFont"/>
                <w:rFonts w:ascii="Times New Roman" w:hAnsi="Times New Roman" w:eastAsiaTheme="minorHAnsi" w:cstheme="minorBidi"/>
                <w:b/>
                <w:color w:val="000000"/>
                <w:sz w:val="20"/>
                <w:szCs w:val="22"/>
                <w:lang w:val="en-US" w:eastAsia="en-US" w:bidi="ar-SA"/>
              </w:rPr>
            </w:pPr>
            <w:r w:rsidRPr="001A4989">
              <w:rPr>
                <w:rFonts w:ascii="Times New Roman" w:hAnsi="Times New Roman" w:eastAsiaTheme="minorHAnsi" w:cstheme="minorBidi"/>
                <w:b/>
                <w:color w:val="000000"/>
                <w:sz w:val="20"/>
                <w:szCs w:val="22"/>
                <w:lang w:val="en-US" w:eastAsia="en-US" w:bidi="ar-SA"/>
              </w:rPr>
              <w:t>Total</w:t>
            </w:r>
          </w:p>
        </w:tc>
        <w:tc>
          <w:tcPr>
            <w:tcW w:w="1530" w:type="dxa"/>
            <w:noWrap/>
            <w:hideMark/>
          </w:tcPr>
          <w:p w:rsidR="003B2A61" w:rsidRPr="001A4989" w:rsidP="003B2A61" w14:paraId="1B251CF9" w14:textId="77777777">
            <w:pPr>
              <w:spacing w:after="0" w:line="240" w:lineRule="auto"/>
              <w:jc w:val="right"/>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188</w:t>
            </w:r>
          </w:p>
        </w:tc>
      </w:tr>
    </w:tbl>
    <w:p w:rsidR="00B63EA1" w:rsidRPr="001A4989" w:rsidP="00826601" w14:paraId="0562B58E" w14:textId="4F05B940">
      <w:pPr>
        <w:pStyle w:val="Caption"/>
        <w:keepNext/>
        <w:rPr>
          <w:rFonts w:ascii="Times New Roman" w:hAnsi="Times New Roman"/>
        </w:rPr>
      </w:pPr>
      <w:bookmarkStart w:id="15" w:name="_Toc505948364"/>
      <w:bookmarkStart w:id="16" w:name="_Toc513124073"/>
      <w:r w:rsidRPr="001A4989">
        <w:rPr>
          <w:rFonts w:ascii="Times New Roman" w:hAnsi="Times New Roman"/>
        </w:rPr>
        <w:t xml:space="preserve">Table </w:t>
      </w:r>
      <w:r w:rsidR="00A07138">
        <w:rPr>
          <w:rFonts w:ascii="Times New Roman" w:hAnsi="Times New Roman"/>
        </w:rPr>
        <w:t>4</w:t>
      </w:r>
      <w:r w:rsidRPr="001A4989">
        <w:rPr>
          <w:rFonts w:ascii="Times New Roman" w:hAnsi="Times New Roman"/>
        </w:rPr>
        <w:t>: Overall Certification – Central Office Backup Power Results</w:t>
      </w:r>
      <w:bookmarkEnd w:id="15"/>
      <w:bookmarkEnd w:id="16"/>
    </w:p>
    <w:p w:rsidR="00B81BE0" w:rsidRPr="001A4989" w:rsidP="009A2242" w14:paraId="36DBCD99" w14:textId="77777777">
      <w:pPr>
        <w:rPr>
          <w:rFonts w:ascii="Times New Roman" w:hAnsi="Times New Roman"/>
        </w:rPr>
      </w:pPr>
      <w:r w:rsidRPr="001A4989">
        <w:rPr>
          <w:rFonts w:ascii="Times New Roman" w:hAnsi="Times New Roman"/>
        </w:rPr>
        <w:t>Of 5</w:t>
      </w:r>
      <w:r w:rsidR="00E32B60">
        <w:rPr>
          <w:rFonts w:ascii="Times New Roman" w:hAnsi="Times New Roman"/>
        </w:rPr>
        <w:t>,</w:t>
      </w:r>
      <w:r w:rsidRPr="001A4989">
        <w:rPr>
          <w:rFonts w:ascii="Times New Roman" w:hAnsi="Times New Roman"/>
        </w:rPr>
        <w:t>315 total c</w:t>
      </w:r>
      <w:r w:rsidRPr="001A4989" w:rsidR="009102AC">
        <w:rPr>
          <w:rFonts w:ascii="Times New Roman" w:hAnsi="Times New Roman"/>
        </w:rPr>
        <w:t xml:space="preserve">entral </w:t>
      </w:r>
      <w:r w:rsidRPr="001A4989">
        <w:rPr>
          <w:rFonts w:ascii="Times New Roman" w:hAnsi="Times New Roman"/>
        </w:rPr>
        <w:t>o</w:t>
      </w:r>
      <w:r w:rsidRPr="001A4989" w:rsidR="009102AC">
        <w:rPr>
          <w:rFonts w:ascii="Times New Roman" w:hAnsi="Times New Roman"/>
        </w:rPr>
        <w:t>ffices</w:t>
      </w:r>
      <w:r w:rsidRPr="001A4989">
        <w:rPr>
          <w:rFonts w:ascii="Times New Roman" w:hAnsi="Times New Roman"/>
        </w:rPr>
        <w:t>,</w:t>
      </w:r>
      <w:r w:rsidRPr="001A4989" w:rsidR="009102AC">
        <w:rPr>
          <w:rFonts w:ascii="Times New Roman" w:hAnsi="Times New Roman"/>
        </w:rPr>
        <w:t xml:space="preserve"> </w:t>
      </w:r>
      <w:r w:rsidRPr="001A4989">
        <w:rPr>
          <w:rFonts w:ascii="Times New Roman" w:hAnsi="Times New Roman"/>
        </w:rPr>
        <w:t>1</w:t>
      </w:r>
      <w:r w:rsidR="00E32B60">
        <w:rPr>
          <w:rFonts w:ascii="Times New Roman" w:hAnsi="Times New Roman"/>
        </w:rPr>
        <w:t>,</w:t>
      </w:r>
      <w:r w:rsidRPr="001A4989">
        <w:rPr>
          <w:rFonts w:ascii="Times New Roman" w:hAnsi="Times New Roman"/>
        </w:rPr>
        <w:t>979</w:t>
      </w:r>
      <w:r w:rsidRPr="001A4989" w:rsidR="009102AC">
        <w:rPr>
          <w:rFonts w:ascii="Times New Roman" w:hAnsi="Times New Roman"/>
        </w:rPr>
        <w:t xml:space="preserve"> have certified backup power for all </w:t>
      </w:r>
      <w:r w:rsidR="003C497F">
        <w:rPr>
          <w:rFonts w:ascii="Times New Roman" w:hAnsi="Times New Roman" w:cs="Times New Roman"/>
        </w:rPr>
        <w:t>four elements</w:t>
      </w:r>
      <w:r w:rsidRPr="001A4989" w:rsidR="003C497F">
        <w:rPr>
          <w:rFonts w:ascii="Times New Roman" w:hAnsi="Times New Roman"/>
        </w:rPr>
        <w:t xml:space="preserve"> of </w:t>
      </w:r>
      <w:r w:rsidRPr="001A4989" w:rsidR="009102AC">
        <w:rPr>
          <w:rFonts w:ascii="Times New Roman" w:hAnsi="Times New Roman"/>
        </w:rPr>
        <w:t>backup power</w:t>
      </w:r>
      <w:r w:rsidR="00C37106">
        <w:rPr>
          <w:rFonts w:ascii="Times New Roman" w:hAnsi="Times New Roman" w:cs="Times New Roman"/>
        </w:rPr>
        <w:t>, as</w:t>
      </w:r>
      <w:r w:rsidRPr="003C497F" w:rsidR="009102AC">
        <w:rPr>
          <w:rFonts w:ascii="Times New Roman" w:hAnsi="Times New Roman" w:cs="Times New Roman"/>
        </w:rPr>
        <w:t xml:space="preserve"> </w:t>
      </w:r>
      <w:r w:rsidRPr="003C497F" w:rsidR="00FD0749">
        <w:rPr>
          <w:rFonts w:ascii="Times New Roman" w:hAnsi="Times New Roman" w:cs="Times New Roman"/>
        </w:rPr>
        <w:t>specified in the rules</w:t>
      </w:r>
      <w:r w:rsidR="00FB3B3E">
        <w:rPr>
          <w:rFonts w:ascii="Times New Roman" w:hAnsi="Times New Roman" w:cs="Times New Roman"/>
        </w:rPr>
        <w:t xml:space="preserve"> and </w:t>
      </w:r>
      <w:r w:rsidR="002D293E">
        <w:rPr>
          <w:rFonts w:ascii="Times New Roman" w:hAnsi="Times New Roman" w:cs="Times New Roman"/>
        </w:rPr>
        <w:t xml:space="preserve">the other </w:t>
      </w:r>
      <w:r w:rsidR="00FB3B3E">
        <w:rPr>
          <w:rFonts w:ascii="Times New Roman" w:hAnsi="Times New Roman" w:cs="Times New Roman"/>
        </w:rPr>
        <w:t>3</w:t>
      </w:r>
      <w:r w:rsidR="00E32B60">
        <w:rPr>
          <w:rFonts w:ascii="Times New Roman" w:hAnsi="Times New Roman" w:cs="Times New Roman"/>
        </w:rPr>
        <w:t>,</w:t>
      </w:r>
      <w:r w:rsidR="00FB3B3E">
        <w:rPr>
          <w:rFonts w:ascii="Times New Roman" w:hAnsi="Times New Roman" w:cs="Times New Roman"/>
        </w:rPr>
        <w:t xml:space="preserve">336 have certified alternative measures for at least one element of the back-up power </w:t>
      </w:r>
      <w:r w:rsidR="00471F22">
        <w:rPr>
          <w:rFonts w:ascii="Times New Roman" w:hAnsi="Times New Roman" w:cs="Times New Roman"/>
        </w:rPr>
        <w:t>requirements</w:t>
      </w:r>
      <w:r w:rsidR="00C37106">
        <w:rPr>
          <w:rFonts w:ascii="Times New Roman" w:hAnsi="Times New Roman" w:cs="Times New Roman"/>
        </w:rPr>
        <w:t>.</w:t>
      </w:r>
      <w:r>
        <w:rPr>
          <w:rStyle w:val="FootnoteReference"/>
          <w:rFonts w:ascii="Times New Roman" w:hAnsi="Times New Roman" w:cs="Times New Roman"/>
        </w:rPr>
        <w:footnoteReference w:id="25"/>
      </w:r>
    </w:p>
    <w:p w:rsidR="00582548" w:rsidRPr="001A4989" w:rsidP="00582548" w14:paraId="56E49626" w14:textId="77777777">
      <w:pPr>
        <w:pStyle w:val="Heading4"/>
        <w:rPr>
          <w:rFonts w:ascii="Times New Roman" w:hAnsi="Times New Roman"/>
        </w:rPr>
      </w:pPr>
      <w:r>
        <w:rPr>
          <w:rFonts w:ascii="Times New Roman" w:hAnsi="Times New Roman"/>
        </w:rPr>
        <w:t>Amount of Back-up Power</w:t>
      </w:r>
    </w:p>
    <w:p w:rsidR="00582548" w:rsidP="008F3DE6" w14:paraId="1A61127D" w14:textId="77777777">
      <w:pPr>
        <w:rPr>
          <w:rFonts w:ascii="Times New Roman" w:hAnsi="Times New Roman" w:cs="Times New Roman"/>
        </w:rPr>
      </w:pPr>
      <w:r>
        <w:rPr>
          <w:rFonts w:ascii="Times New Roman" w:hAnsi="Times New Roman"/>
        </w:rPr>
        <w:t>C</w:t>
      </w:r>
      <w:r w:rsidRPr="001A4989">
        <w:rPr>
          <w:rFonts w:ascii="Times New Roman" w:hAnsi="Times New Roman"/>
        </w:rPr>
        <w:t>overed entities are required to certify whether each central office providing circuits to one or more PSAPs had 72 hours of backup power for selective routers and 24 hours for non-selective routers</w:t>
      </w:r>
      <w:r w:rsidR="00471F22">
        <w:rPr>
          <w:rFonts w:ascii="Times New Roman" w:hAnsi="Times New Roman"/>
        </w:rPr>
        <w:t>.</w:t>
      </w:r>
    </w:p>
    <w:p w:rsidR="009A2242" w:rsidRPr="001A4989" w:rsidP="008F3DE6" w14:paraId="190F015B" w14:textId="7E60D6AE">
      <w:pPr>
        <w:rPr>
          <w:rFonts w:ascii="Times New Roman" w:hAnsi="Times New Roman"/>
        </w:rPr>
      </w:pPr>
      <w:r>
        <w:rPr>
          <w:rFonts w:ascii="Times New Roman" w:hAnsi="Times New Roman" w:cs="Times New Roman"/>
        </w:rPr>
        <w:t>C</w:t>
      </w:r>
      <w:r w:rsidRPr="006D51AD" w:rsidR="00952C7F">
        <w:rPr>
          <w:rFonts w:ascii="Times New Roman" w:hAnsi="Times New Roman" w:cs="Times New Roman"/>
        </w:rPr>
        <w:t xml:space="preserve">overed entities indicated that </w:t>
      </w:r>
      <w:r w:rsidRPr="001A4989" w:rsidR="00952C7F">
        <w:rPr>
          <w:rFonts w:ascii="Times New Roman" w:hAnsi="Times New Roman"/>
        </w:rPr>
        <w:t xml:space="preserve">of </w:t>
      </w:r>
      <w:r w:rsidRPr="006D51AD" w:rsidR="00952C7F">
        <w:rPr>
          <w:rFonts w:ascii="Times New Roman" w:hAnsi="Times New Roman" w:cs="Times New Roman"/>
        </w:rPr>
        <w:t xml:space="preserve">their </w:t>
      </w:r>
      <w:r w:rsidRPr="005E0794" w:rsidR="00952C7F">
        <w:rPr>
          <w:rFonts w:ascii="Times New Roman" w:hAnsi="Times New Roman"/>
        </w:rPr>
        <w:t>5,315 central offices</w:t>
      </w:r>
      <w:r w:rsidRPr="006D51AD" w:rsidR="00952C7F">
        <w:rPr>
          <w:rFonts w:ascii="Times New Roman" w:hAnsi="Times New Roman" w:cs="Times New Roman"/>
        </w:rPr>
        <w:t>, o</w:t>
      </w:r>
      <w:r w:rsidRPr="006D51AD" w:rsidR="00295F7F">
        <w:rPr>
          <w:rFonts w:ascii="Times New Roman" w:hAnsi="Times New Roman" w:cs="Times New Roman"/>
        </w:rPr>
        <w:t>nly 126</w:t>
      </w:r>
      <w:r w:rsidRPr="001A4989" w:rsidR="00295F7F">
        <w:rPr>
          <w:rFonts w:ascii="Times New Roman" w:hAnsi="Times New Roman"/>
        </w:rPr>
        <w:t xml:space="preserve"> did not </w:t>
      </w:r>
      <w:r>
        <w:rPr>
          <w:rFonts w:ascii="Times New Roman" w:hAnsi="Times New Roman"/>
        </w:rPr>
        <w:t xml:space="preserve">directly </w:t>
      </w:r>
      <w:r w:rsidRPr="001A4989" w:rsidR="00295F7F">
        <w:rPr>
          <w:rFonts w:ascii="Times New Roman" w:hAnsi="Times New Roman"/>
        </w:rPr>
        <w:t xml:space="preserve">satisfy </w:t>
      </w:r>
      <w:r w:rsidR="008D0258">
        <w:rPr>
          <w:rFonts w:ascii="Times New Roman" w:hAnsi="Times New Roman"/>
        </w:rPr>
        <w:t>the</w:t>
      </w:r>
      <w:r w:rsidRPr="001A4989" w:rsidR="008D0258">
        <w:rPr>
          <w:rFonts w:ascii="Times New Roman" w:hAnsi="Times New Roman"/>
        </w:rPr>
        <w:t xml:space="preserve"> </w:t>
      </w:r>
      <w:r w:rsidRPr="001A4989" w:rsidR="00295F7F">
        <w:rPr>
          <w:rFonts w:ascii="Times New Roman" w:hAnsi="Times New Roman"/>
        </w:rPr>
        <w:t>certification elemen</w:t>
      </w:r>
      <w:r w:rsidR="008D0258">
        <w:rPr>
          <w:rFonts w:ascii="Times New Roman" w:hAnsi="Times New Roman"/>
        </w:rPr>
        <w:t>t for the amount of back-up power</w:t>
      </w:r>
      <w:r w:rsidRPr="006D51AD" w:rsidR="00952C7F">
        <w:rPr>
          <w:rFonts w:ascii="Times New Roman" w:hAnsi="Times New Roman" w:cs="Times New Roman"/>
        </w:rPr>
        <w:t>.  For these 126 central offices, covered entities indicated that they have implemented</w:t>
      </w:r>
      <w:r w:rsidRPr="001A4989" w:rsidR="00952C7F">
        <w:rPr>
          <w:rFonts w:ascii="Times New Roman" w:hAnsi="Times New Roman"/>
        </w:rPr>
        <w:t xml:space="preserve"> alternative measures</w:t>
      </w:r>
      <w:r w:rsidRPr="006D51AD" w:rsidR="00952C7F">
        <w:rPr>
          <w:rFonts w:ascii="Times New Roman" w:hAnsi="Times New Roman" w:cs="Times New Roman"/>
        </w:rPr>
        <w:t>.</w:t>
      </w:r>
      <w:r w:rsidRPr="001A4989" w:rsidR="00295F7F">
        <w:rPr>
          <w:rFonts w:ascii="Times New Roman" w:hAnsi="Times New Roman"/>
        </w:rPr>
        <w:t xml:space="preserve"> </w:t>
      </w:r>
    </w:p>
    <w:p w:rsidR="00B010A1" w:rsidP="009A2242" w14:paraId="4B33FACA" w14:textId="74BB4A09">
      <w:pPr>
        <w:rPr>
          <w:rFonts w:ascii="Times New Roman" w:hAnsi="Times New Roman"/>
        </w:rPr>
      </w:pPr>
      <w:r w:rsidRPr="001A4989">
        <w:rPr>
          <w:rFonts w:ascii="Times New Roman" w:hAnsi="Times New Roman"/>
        </w:rPr>
        <w:t>The following table lists the alternative measure</w:t>
      </w:r>
      <w:r w:rsidRPr="001A4989" w:rsidR="00B563BD">
        <w:rPr>
          <w:rFonts w:ascii="Times New Roman" w:hAnsi="Times New Roman"/>
        </w:rPr>
        <w:t>s</w:t>
      </w:r>
      <w:r w:rsidRPr="001A4989">
        <w:rPr>
          <w:rFonts w:ascii="Times New Roman" w:hAnsi="Times New Roman"/>
        </w:rPr>
        <w:t xml:space="preserve"> </w:t>
      </w:r>
      <w:r w:rsidR="00C9361A">
        <w:rPr>
          <w:rFonts w:ascii="Times New Roman" w:hAnsi="Times New Roman" w:cs="Times New Roman"/>
        </w:rPr>
        <w:t>implemented</w:t>
      </w:r>
      <w:r w:rsidRPr="001A4989" w:rsidR="00C9361A">
        <w:rPr>
          <w:rFonts w:ascii="Times New Roman" w:hAnsi="Times New Roman"/>
        </w:rPr>
        <w:t xml:space="preserve"> </w:t>
      </w:r>
      <w:r w:rsidR="008928DA">
        <w:rPr>
          <w:rFonts w:ascii="Times New Roman" w:hAnsi="Times New Roman"/>
        </w:rPr>
        <w:t>in these 126 central offices</w:t>
      </w:r>
      <w:r w:rsidR="00B40B80">
        <w:rPr>
          <w:rFonts w:ascii="Times New Roman" w:hAnsi="Times New Roman"/>
        </w:rPr>
        <w:t>.</w:t>
      </w:r>
      <w:r w:rsidR="008928DA">
        <w:rPr>
          <w:rFonts w:ascii="Times New Roman" w:hAnsi="Times New Roman"/>
        </w:rPr>
        <w:t xml:space="preserve"> </w:t>
      </w:r>
    </w:p>
    <w:tbl>
      <w:tblPr>
        <w:tblW w:w="4260" w:type="dxa"/>
        <w:jc w:val="center"/>
        <w:tblInd w:w="0" w:type="dxa"/>
        <w:tblCellMar>
          <w:top w:w="0" w:type="dxa"/>
          <w:left w:w="108" w:type="dxa"/>
          <w:bottom w:w="0" w:type="dxa"/>
          <w:right w:w="108" w:type="dxa"/>
        </w:tblCellMar>
        <w:tblLook w:val="04A0"/>
      </w:tblPr>
      <w:tblGrid>
        <w:gridCol w:w="3300"/>
        <w:gridCol w:w="960"/>
      </w:tblGrid>
      <w:tr w14:paraId="031B947C" w14:textId="77777777" w:rsidTr="00B010A1">
        <w:tblPrEx>
          <w:tblW w:w="4260" w:type="dxa"/>
          <w:jc w:val="center"/>
          <w:tblInd w:w="0" w:type="dxa"/>
          <w:tblCellMar>
            <w:top w:w="0" w:type="dxa"/>
            <w:left w:w="108" w:type="dxa"/>
            <w:bottom w:w="0" w:type="dxa"/>
            <w:right w:w="108" w:type="dxa"/>
          </w:tblCellMar>
          <w:tblLook w:val="04A0"/>
        </w:tblPrEx>
        <w:trPr>
          <w:trHeight w:val="300"/>
          <w:jc w:val="center"/>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0A1" w:rsidRPr="001A4989" w:rsidP="00B010A1" w14:paraId="2428E190" w14:textId="77777777">
            <w:pPr>
              <w:spacing w:after="0" w:line="240" w:lineRule="auto"/>
              <w:jc w:val="center"/>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Alternative Measure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010A1" w:rsidRPr="001A4989" w:rsidP="00B010A1" w14:paraId="4F622468" w14:textId="77777777">
            <w:pPr>
              <w:spacing w:after="0" w:line="240" w:lineRule="auto"/>
              <w:jc w:val="center"/>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Count</w:t>
            </w:r>
          </w:p>
        </w:tc>
      </w:tr>
      <w:tr w14:paraId="3AAA9A55" w14:textId="77777777" w:rsidTr="00B010A1">
        <w:tblPrEx>
          <w:tblW w:w="4260" w:type="dxa"/>
          <w:jc w:val="center"/>
          <w:tblInd w:w="0" w:type="dxa"/>
          <w:tblCellMar>
            <w:top w:w="0" w:type="dxa"/>
            <w:left w:w="108" w:type="dxa"/>
            <w:bottom w:w="0" w:type="dxa"/>
            <w:right w:w="108" w:type="dxa"/>
          </w:tblCellMar>
          <w:tblLook w:val="04A0"/>
        </w:tblPrEx>
        <w:trPr>
          <w:trHeight w:val="300"/>
          <w:jc w:val="center"/>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010A1" w:rsidRPr="001A4989" w:rsidP="00B010A1" w14:paraId="541BFF56"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Have refueling procedures</w:t>
            </w:r>
          </w:p>
        </w:tc>
        <w:tc>
          <w:tcPr>
            <w:tcW w:w="960" w:type="dxa"/>
            <w:tcBorders>
              <w:top w:val="nil"/>
              <w:left w:val="nil"/>
              <w:bottom w:val="single" w:sz="4" w:space="0" w:color="auto"/>
              <w:right w:val="single" w:sz="4" w:space="0" w:color="auto"/>
            </w:tcBorders>
            <w:shd w:val="clear" w:color="auto" w:fill="auto"/>
            <w:noWrap/>
            <w:vAlign w:val="bottom"/>
            <w:hideMark/>
          </w:tcPr>
          <w:p w:rsidR="00B010A1" w:rsidRPr="001A4989" w:rsidP="00B010A1" w14:paraId="511F591D"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63</w:t>
            </w:r>
          </w:p>
        </w:tc>
      </w:tr>
      <w:tr w14:paraId="0BD023C7" w14:textId="77777777" w:rsidTr="00B010A1">
        <w:tblPrEx>
          <w:tblW w:w="4260" w:type="dxa"/>
          <w:jc w:val="center"/>
          <w:tblInd w:w="0" w:type="dxa"/>
          <w:tblCellMar>
            <w:top w:w="0" w:type="dxa"/>
            <w:left w:w="108" w:type="dxa"/>
            <w:bottom w:w="0" w:type="dxa"/>
            <w:right w:w="108" w:type="dxa"/>
          </w:tblCellMar>
          <w:tblLook w:val="04A0"/>
        </w:tblPrEx>
        <w:trPr>
          <w:trHeight w:val="300"/>
          <w:jc w:val="center"/>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010A1" w:rsidRPr="001A4989" w:rsidP="00B010A1" w14:paraId="3DEF7ED4"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Portable generator</w:t>
            </w:r>
          </w:p>
        </w:tc>
        <w:tc>
          <w:tcPr>
            <w:tcW w:w="960" w:type="dxa"/>
            <w:tcBorders>
              <w:top w:val="nil"/>
              <w:left w:val="nil"/>
              <w:bottom w:val="single" w:sz="4" w:space="0" w:color="auto"/>
              <w:right w:val="single" w:sz="4" w:space="0" w:color="auto"/>
            </w:tcBorders>
            <w:shd w:val="clear" w:color="auto" w:fill="auto"/>
            <w:noWrap/>
            <w:vAlign w:val="bottom"/>
            <w:hideMark/>
          </w:tcPr>
          <w:p w:rsidR="00B010A1" w:rsidRPr="001A4989" w:rsidP="00B010A1" w14:paraId="27E15D97"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48</w:t>
            </w:r>
          </w:p>
        </w:tc>
      </w:tr>
      <w:tr w14:paraId="6CDA27B2" w14:textId="77777777" w:rsidTr="00B010A1">
        <w:tblPrEx>
          <w:tblW w:w="4260" w:type="dxa"/>
          <w:jc w:val="center"/>
          <w:tblInd w:w="0" w:type="dxa"/>
          <w:tblCellMar>
            <w:top w:w="0" w:type="dxa"/>
            <w:left w:w="108" w:type="dxa"/>
            <w:bottom w:w="0" w:type="dxa"/>
            <w:right w:w="108" w:type="dxa"/>
          </w:tblCellMar>
          <w:tblLook w:val="04A0"/>
        </w:tblPrEx>
        <w:trPr>
          <w:trHeight w:val="300"/>
          <w:jc w:val="center"/>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010A1" w:rsidRPr="001A4989" w:rsidP="00B010A1" w14:paraId="4AF94C6E"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Co</w:t>
            </w:r>
            <w:r w:rsidRPr="001A4989" w:rsidR="00B86297">
              <w:rPr>
                <w:rFonts w:ascii="Times New Roman" w:hAnsi="Times New Roman" w:eastAsiaTheme="minorHAnsi" w:cstheme="minorBidi"/>
                <w:color w:val="000000"/>
                <w:sz w:val="22"/>
                <w:szCs w:val="22"/>
                <w:lang w:val="en-US" w:eastAsia="en-US" w:bidi="ar-SA"/>
              </w:rPr>
              <w:t>-</w:t>
            </w:r>
            <w:r w:rsidRPr="001A4989">
              <w:rPr>
                <w:rFonts w:ascii="Times New Roman" w:hAnsi="Times New Roman" w:eastAsiaTheme="minorHAnsi" w:cstheme="minorBidi"/>
                <w:color w:val="000000"/>
                <w:sz w:val="22"/>
                <w:szCs w:val="22"/>
                <w:lang w:val="en-US" w:eastAsia="en-US" w:bidi="ar-SA"/>
              </w:rPr>
              <w:t>located equipment</w:t>
            </w:r>
          </w:p>
        </w:tc>
        <w:tc>
          <w:tcPr>
            <w:tcW w:w="960" w:type="dxa"/>
            <w:tcBorders>
              <w:top w:val="nil"/>
              <w:left w:val="nil"/>
              <w:bottom w:val="single" w:sz="4" w:space="0" w:color="auto"/>
              <w:right w:val="single" w:sz="4" w:space="0" w:color="auto"/>
            </w:tcBorders>
            <w:shd w:val="clear" w:color="auto" w:fill="auto"/>
            <w:noWrap/>
            <w:vAlign w:val="bottom"/>
            <w:hideMark/>
          </w:tcPr>
          <w:p w:rsidR="00B010A1" w:rsidRPr="001A4989" w:rsidP="00B010A1" w14:paraId="58F5E835"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6</w:t>
            </w:r>
          </w:p>
        </w:tc>
      </w:tr>
      <w:tr w14:paraId="3D1F62B3" w14:textId="77777777" w:rsidTr="00B010A1">
        <w:tblPrEx>
          <w:tblW w:w="4260" w:type="dxa"/>
          <w:jc w:val="center"/>
          <w:tblInd w:w="0" w:type="dxa"/>
          <w:tblCellMar>
            <w:top w:w="0" w:type="dxa"/>
            <w:left w:w="108" w:type="dxa"/>
            <w:bottom w:w="0" w:type="dxa"/>
            <w:right w:w="108" w:type="dxa"/>
          </w:tblCellMar>
          <w:tblLook w:val="04A0"/>
        </w:tblPrEx>
        <w:trPr>
          <w:trHeight w:val="300"/>
          <w:jc w:val="center"/>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010A1" w:rsidRPr="001A4989" w:rsidP="00B010A1" w14:paraId="0831CDD4"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Installing new generator</w:t>
            </w:r>
          </w:p>
        </w:tc>
        <w:tc>
          <w:tcPr>
            <w:tcW w:w="960" w:type="dxa"/>
            <w:tcBorders>
              <w:top w:val="nil"/>
              <w:left w:val="nil"/>
              <w:bottom w:val="single" w:sz="4" w:space="0" w:color="auto"/>
              <w:right w:val="single" w:sz="4" w:space="0" w:color="auto"/>
            </w:tcBorders>
            <w:shd w:val="clear" w:color="auto" w:fill="auto"/>
            <w:noWrap/>
            <w:vAlign w:val="bottom"/>
            <w:hideMark/>
          </w:tcPr>
          <w:p w:rsidR="00B010A1" w:rsidRPr="001A4989" w:rsidP="00B010A1" w14:paraId="79B202B9"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4</w:t>
            </w:r>
          </w:p>
        </w:tc>
      </w:tr>
      <w:tr w14:paraId="4605A795" w14:textId="77777777" w:rsidTr="00B010A1">
        <w:tblPrEx>
          <w:tblW w:w="4260" w:type="dxa"/>
          <w:jc w:val="center"/>
          <w:tblInd w:w="0" w:type="dxa"/>
          <w:tblCellMar>
            <w:top w:w="0" w:type="dxa"/>
            <w:left w:w="108" w:type="dxa"/>
            <w:bottom w:w="0" w:type="dxa"/>
            <w:right w:w="108" w:type="dxa"/>
          </w:tblCellMar>
          <w:tblLook w:val="04A0"/>
        </w:tblPrEx>
        <w:trPr>
          <w:trHeight w:val="300"/>
          <w:jc w:val="center"/>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010A1" w:rsidRPr="001A4989" w:rsidP="00B010A1" w14:paraId="781A51A7"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Repairing generator</w:t>
            </w:r>
          </w:p>
        </w:tc>
        <w:tc>
          <w:tcPr>
            <w:tcW w:w="960" w:type="dxa"/>
            <w:tcBorders>
              <w:top w:val="nil"/>
              <w:left w:val="nil"/>
              <w:bottom w:val="single" w:sz="4" w:space="0" w:color="auto"/>
              <w:right w:val="single" w:sz="4" w:space="0" w:color="auto"/>
            </w:tcBorders>
            <w:shd w:val="clear" w:color="auto" w:fill="auto"/>
            <w:noWrap/>
            <w:vAlign w:val="bottom"/>
            <w:hideMark/>
          </w:tcPr>
          <w:p w:rsidR="00B010A1" w:rsidRPr="001A4989" w:rsidP="00B010A1" w14:paraId="24BB71B3"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3</w:t>
            </w:r>
          </w:p>
        </w:tc>
      </w:tr>
      <w:tr w14:paraId="22BCDB77" w14:textId="77777777" w:rsidTr="00B010A1">
        <w:tblPrEx>
          <w:tblW w:w="4260" w:type="dxa"/>
          <w:jc w:val="center"/>
          <w:tblInd w:w="0" w:type="dxa"/>
          <w:tblCellMar>
            <w:top w:w="0" w:type="dxa"/>
            <w:left w:w="108" w:type="dxa"/>
            <w:bottom w:w="0" w:type="dxa"/>
            <w:right w:w="108" w:type="dxa"/>
          </w:tblCellMar>
          <w:tblLook w:val="04A0"/>
        </w:tblPrEx>
        <w:trPr>
          <w:trHeight w:val="300"/>
          <w:jc w:val="center"/>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010A1" w:rsidRPr="001A4989" w:rsidP="00B010A1" w14:paraId="61FAEAE0"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Getting new, bigger fuel tank</w:t>
            </w:r>
          </w:p>
        </w:tc>
        <w:tc>
          <w:tcPr>
            <w:tcW w:w="960" w:type="dxa"/>
            <w:tcBorders>
              <w:top w:val="nil"/>
              <w:left w:val="nil"/>
              <w:bottom w:val="single" w:sz="4" w:space="0" w:color="auto"/>
              <w:right w:val="single" w:sz="4" w:space="0" w:color="auto"/>
            </w:tcBorders>
            <w:shd w:val="clear" w:color="auto" w:fill="auto"/>
            <w:noWrap/>
            <w:vAlign w:val="bottom"/>
            <w:hideMark/>
          </w:tcPr>
          <w:p w:rsidR="00B010A1" w:rsidRPr="001A4989" w:rsidP="00B010A1" w14:paraId="721174DB"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w:t>
            </w:r>
          </w:p>
        </w:tc>
      </w:tr>
      <w:tr w14:paraId="51F5693D" w14:textId="77777777" w:rsidTr="00B010A1">
        <w:tblPrEx>
          <w:tblW w:w="4260" w:type="dxa"/>
          <w:jc w:val="center"/>
          <w:tblInd w:w="0" w:type="dxa"/>
          <w:tblCellMar>
            <w:top w:w="0" w:type="dxa"/>
            <w:left w:w="108" w:type="dxa"/>
            <w:bottom w:w="0" w:type="dxa"/>
            <w:right w:w="108" w:type="dxa"/>
          </w:tblCellMar>
          <w:tblLook w:val="04A0"/>
        </w:tblPrEx>
        <w:trPr>
          <w:trHeight w:val="300"/>
          <w:jc w:val="center"/>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010A1" w:rsidRPr="001A4989" w:rsidP="00B010A1" w14:paraId="423C18E8"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Standby generator</w:t>
            </w:r>
          </w:p>
        </w:tc>
        <w:tc>
          <w:tcPr>
            <w:tcW w:w="960" w:type="dxa"/>
            <w:tcBorders>
              <w:top w:val="nil"/>
              <w:left w:val="nil"/>
              <w:bottom w:val="single" w:sz="4" w:space="0" w:color="auto"/>
              <w:right w:val="single" w:sz="4" w:space="0" w:color="auto"/>
            </w:tcBorders>
            <w:shd w:val="clear" w:color="auto" w:fill="auto"/>
            <w:noWrap/>
            <w:vAlign w:val="bottom"/>
            <w:hideMark/>
          </w:tcPr>
          <w:p w:rsidR="00B010A1" w:rsidRPr="001A4989" w:rsidP="00B010A1" w14:paraId="16944A5C"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1</w:t>
            </w:r>
          </w:p>
        </w:tc>
      </w:tr>
      <w:tr w14:paraId="68D10212" w14:textId="77777777" w:rsidTr="008F3DE6">
        <w:tblPrEx>
          <w:tblW w:w="4260" w:type="dxa"/>
          <w:jc w:val="center"/>
          <w:tblInd w:w="0" w:type="dxa"/>
          <w:tblCellMar>
            <w:top w:w="0" w:type="dxa"/>
            <w:left w:w="108" w:type="dxa"/>
            <w:bottom w:w="0" w:type="dxa"/>
            <w:right w:w="108" w:type="dxa"/>
          </w:tblCellMar>
          <w:tblLook w:val="04A0"/>
        </w:tblPrEx>
        <w:trPr>
          <w:trHeight w:val="300"/>
          <w:jc w:val="center"/>
        </w:trPr>
        <w:tc>
          <w:tcPr>
            <w:tcW w:w="33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010A1" w:rsidRPr="001A4989" w:rsidP="00B010A1" w14:paraId="4ED31D61" w14:textId="77777777">
            <w:pPr>
              <w:spacing w:after="0" w:line="240" w:lineRule="auto"/>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Total</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B010A1" w:rsidRPr="001A4989" w:rsidP="00B010A1" w14:paraId="141AF260" w14:textId="77777777">
            <w:pPr>
              <w:spacing w:after="0" w:line="240" w:lineRule="auto"/>
              <w:jc w:val="right"/>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126</w:t>
            </w:r>
          </w:p>
        </w:tc>
      </w:tr>
    </w:tbl>
    <w:p w:rsidR="00B967CA" w:rsidRPr="001A4989" w:rsidP="00826601" w14:paraId="35496B65" w14:textId="3527E6CF">
      <w:pPr>
        <w:pStyle w:val="Caption"/>
        <w:rPr>
          <w:rFonts w:ascii="Times New Roman" w:hAnsi="Times New Roman"/>
        </w:rPr>
      </w:pPr>
      <w:bookmarkStart w:id="17" w:name="_Toc505948367"/>
      <w:bookmarkStart w:id="18" w:name="_Toc513124076"/>
      <w:bookmarkStart w:id="19" w:name="_Toc437520822"/>
      <w:r w:rsidRPr="001A4989">
        <w:rPr>
          <w:rFonts w:ascii="Times New Roman" w:hAnsi="Times New Roman"/>
        </w:rPr>
        <w:t xml:space="preserve">Table </w:t>
      </w:r>
      <w:r w:rsidR="00A07138">
        <w:rPr>
          <w:rFonts w:ascii="Times New Roman" w:hAnsi="Times New Roman"/>
        </w:rPr>
        <w:t>5</w:t>
      </w:r>
      <w:r w:rsidRPr="001A4989">
        <w:rPr>
          <w:rFonts w:ascii="Times New Roman" w:hAnsi="Times New Roman"/>
        </w:rPr>
        <w:t xml:space="preserve">: </w:t>
      </w:r>
      <w:r w:rsidRPr="001A4989">
        <w:rPr>
          <w:rFonts w:ascii="Times New Roman" w:hAnsi="Times New Roman"/>
        </w:rPr>
        <w:t>Summary of the Alternative Measures for Meeting the Backup Power Requirement</w:t>
      </w:r>
      <w:bookmarkEnd w:id="17"/>
      <w:bookmarkEnd w:id="18"/>
    </w:p>
    <w:p w:rsidR="006F671A" w:rsidRPr="001A4989" w:rsidP="00B86297" w14:paraId="5CA9C906" w14:textId="77777777">
      <w:pPr>
        <w:pStyle w:val="Heading4"/>
        <w:rPr>
          <w:rFonts w:ascii="Times New Roman" w:hAnsi="Times New Roman"/>
        </w:rPr>
      </w:pPr>
      <w:r w:rsidRPr="001A4989">
        <w:rPr>
          <w:rFonts w:ascii="Times New Roman" w:hAnsi="Times New Roman"/>
        </w:rPr>
        <w:t>Testing to Manufacturer’s Specifications</w:t>
      </w:r>
      <w:bookmarkEnd w:id="19"/>
    </w:p>
    <w:p w:rsidR="00043217" w:rsidRPr="001A4989" w:rsidP="00043217" w14:paraId="7891C205" w14:textId="77777777">
      <w:pPr>
        <w:rPr>
          <w:rFonts w:ascii="Times New Roman" w:hAnsi="Times New Roman"/>
        </w:rPr>
      </w:pPr>
      <w:r w:rsidRPr="001A4989">
        <w:rPr>
          <w:rFonts w:ascii="Times New Roman" w:hAnsi="Times New Roman"/>
        </w:rPr>
        <w:t xml:space="preserve">The Commission’s </w:t>
      </w:r>
      <w:r w:rsidRPr="001A4989" w:rsidR="00531D97">
        <w:rPr>
          <w:rFonts w:ascii="Times New Roman" w:hAnsi="Times New Roman"/>
        </w:rPr>
        <w:t>rules</w:t>
      </w:r>
      <w:r w:rsidRPr="001A4989">
        <w:rPr>
          <w:rFonts w:ascii="Times New Roman" w:hAnsi="Times New Roman"/>
        </w:rPr>
        <w:t xml:space="preserve"> require that</w:t>
      </w:r>
      <w:r w:rsidRPr="001A4989" w:rsidR="001E340A">
        <w:rPr>
          <w:rFonts w:ascii="Times New Roman" w:hAnsi="Times New Roman"/>
        </w:rPr>
        <w:t xml:space="preserve"> </w:t>
      </w:r>
      <w:r w:rsidRPr="001A4989" w:rsidR="009E7D70">
        <w:rPr>
          <w:rFonts w:ascii="Times New Roman" w:hAnsi="Times New Roman"/>
        </w:rPr>
        <w:t>covered entities</w:t>
      </w:r>
      <w:r w:rsidRPr="001A4989">
        <w:rPr>
          <w:rFonts w:ascii="Times New Roman" w:hAnsi="Times New Roman"/>
        </w:rPr>
        <w:t xml:space="preserve"> certify </w:t>
      </w:r>
      <w:r w:rsidRPr="001A4989" w:rsidR="00E94AB6">
        <w:rPr>
          <w:rFonts w:ascii="Times New Roman" w:hAnsi="Times New Roman"/>
        </w:rPr>
        <w:t xml:space="preserve">whether </w:t>
      </w:r>
      <w:r w:rsidRPr="001A4989">
        <w:rPr>
          <w:rFonts w:ascii="Times New Roman" w:hAnsi="Times New Roman"/>
        </w:rPr>
        <w:t>they test and maintain all backup power equipment in central offices in accordance with the manufacturer’s specifications</w:t>
      </w:r>
      <w:r w:rsidRPr="001A4989" w:rsidR="0095428C">
        <w:rPr>
          <w:rFonts w:ascii="Times New Roman" w:hAnsi="Times New Roman"/>
        </w:rPr>
        <w:t>, or take alternative measures</w:t>
      </w:r>
      <w:r w:rsidRPr="006D51AD" w:rsidR="00952C7F">
        <w:rPr>
          <w:rFonts w:ascii="Times New Roman" w:hAnsi="Times New Roman" w:cs="Times New Roman"/>
        </w:rPr>
        <w:t xml:space="preserve"> to mitigate the risk of a loss of 911 service resulting from a loss of power</w:t>
      </w:r>
      <w:r w:rsidRPr="006D51AD">
        <w:rPr>
          <w:rFonts w:ascii="Times New Roman" w:hAnsi="Times New Roman" w:cs="Times New Roman"/>
        </w:rPr>
        <w:t>.</w:t>
      </w:r>
      <w:r>
        <w:rPr>
          <w:rStyle w:val="FootnoteReference"/>
          <w:rFonts w:ascii="Times New Roman" w:hAnsi="Times New Roman" w:cs="Times New Roman"/>
        </w:rPr>
        <w:footnoteReference w:id="26"/>
      </w:r>
      <w:r w:rsidRPr="001A4989">
        <w:rPr>
          <w:rFonts w:ascii="Times New Roman" w:hAnsi="Times New Roman"/>
        </w:rPr>
        <w:t xml:space="preserve"> </w:t>
      </w:r>
      <w:r w:rsidRPr="001A4989" w:rsidR="00540341">
        <w:rPr>
          <w:rFonts w:ascii="Times New Roman" w:hAnsi="Times New Roman"/>
        </w:rPr>
        <w:t xml:space="preserve"> Of the 16 </w:t>
      </w:r>
      <w:r w:rsidRPr="001A4989" w:rsidR="009E7D70">
        <w:rPr>
          <w:rFonts w:ascii="Times New Roman" w:hAnsi="Times New Roman"/>
        </w:rPr>
        <w:t>covered entities</w:t>
      </w:r>
      <w:r w:rsidRPr="001A4989" w:rsidR="00540341">
        <w:rPr>
          <w:rFonts w:ascii="Times New Roman" w:hAnsi="Times New Roman"/>
        </w:rPr>
        <w:t xml:space="preserve"> that indicated that they </w:t>
      </w:r>
      <w:r w:rsidR="00826677">
        <w:rPr>
          <w:rFonts w:ascii="Times New Roman" w:hAnsi="Times New Roman" w:cs="Times New Roman"/>
        </w:rPr>
        <w:t>implement</w:t>
      </w:r>
      <w:r w:rsidRPr="001A4989" w:rsidR="00826677">
        <w:rPr>
          <w:rFonts w:ascii="Times New Roman" w:hAnsi="Times New Roman"/>
        </w:rPr>
        <w:t xml:space="preserve"> </w:t>
      </w:r>
      <w:r w:rsidRPr="001A4989" w:rsidR="00540341">
        <w:rPr>
          <w:rFonts w:ascii="Times New Roman" w:hAnsi="Times New Roman"/>
        </w:rPr>
        <w:t xml:space="preserve">alternative measures for </w:t>
      </w:r>
      <w:r w:rsidR="004211D0">
        <w:rPr>
          <w:rFonts w:ascii="Times New Roman" w:hAnsi="Times New Roman" w:cs="Times New Roman"/>
        </w:rPr>
        <w:t xml:space="preserve">some aspect of </w:t>
      </w:r>
      <w:r w:rsidRPr="001A4989" w:rsidR="00540341">
        <w:rPr>
          <w:rFonts w:ascii="Times New Roman" w:hAnsi="Times New Roman"/>
        </w:rPr>
        <w:t xml:space="preserve">backup power to central offices, 11 certified that </w:t>
      </w:r>
      <w:r w:rsidRPr="001A4989" w:rsidR="009F4D25">
        <w:rPr>
          <w:rFonts w:ascii="Times New Roman" w:hAnsi="Times New Roman"/>
        </w:rPr>
        <w:t xml:space="preserve">they </w:t>
      </w:r>
      <w:r w:rsidRPr="001A4989" w:rsidR="00540341">
        <w:rPr>
          <w:rFonts w:ascii="Times New Roman" w:hAnsi="Times New Roman"/>
        </w:rPr>
        <w:t>test equipment in accordance with manufacturer</w:t>
      </w:r>
      <w:r w:rsidRPr="001A4989" w:rsidR="000327C9">
        <w:rPr>
          <w:rFonts w:ascii="Times New Roman" w:hAnsi="Times New Roman"/>
        </w:rPr>
        <w:t>’</w:t>
      </w:r>
      <w:r w:rsidRPr="001A4989" w:rsidR="00540341">
        <w:rPr>
          <w:rFonts w:ascii="Times New Roman" w:hAnsi="Times New Roman"/>
        </w:rPr>
        <w:t>s specifications,</w:t>
      </w:r>
      <w:r w:rsidRPr="001A4989">
        <w:rPr>
          <w:rFonts w:ascii="Times New Roman" w:hAnsi="Times New Roman"/>
        </w:rPr>
        <w:t xml:space="preserve"> </w:t>
      </w:r>
      <w:r w:rsidRPr="001A4989" w:rsidR="00540341">
        <w:rPr>
          <w:rFonts w:ascii="Times New Roman" w:hAnsi="Times New Roman"/>
        </w:rPr>
        <w:t xml:space="preserve">and five indicated that they </w:t>
      </w:r>
      <w:r w:rsidR="00C9361A">
        <w:rPr>
          <w:rFonts w:ascii="Times New Roman" w:hAnsi="Times New Roman" w:cs="Times New Roman"/>
        </w:rPr>
        <w:t>have</w:t>
      </w:r>
      <w:r w:rsidRPr="001A4989" w:rsidR="00540341">
        <w:rPr>
          <w:rFonts w:ascii="Times New Roman" w:hAnsi="Times New Roman"/>
        </w:rPr>
        <w:t xml:space="preserve"> alternative testing methods</w:t>
      </w:r>
      <w:r w:rsidRPr="001A4989" w:rsidR="00CB1358">
        <w:rPr>
          <w:rFonts w:ascii="Times New Roman" w:hAnsi="Times New Roman"/>
        </w:rPr>
        <w:t xml:space="preserve"> (</w:t>
      </w:r>
      <w:r w:rsidRPr="001A4989" w:rsidR="000327C9">
        <w:rPr>
          <w:rFonts w:ascii="Times New Roman" w:hAnsi="Times New Roman"/>
        </w:rPr>
        <w:t>i</w:t>
      </w:r>
      <w:r w:rsidRPr="001A4989" w:rsidR="00CB1358">
        <w:rPr>
          <w:rFonts w:ascii="Times New Roman" w:hAnsi="Times New Roman"/>
        </w:rPr>
        <w:t>ndustry specifications designed for communications equipment)</w:t>
      </w:r>
      <w:r w:rsidRPr="001A4989" w:rsidR="00540341">
        <w:rPr>
          <w:rFonts w:ascii="Times New Roman" w:hAnsi="Times New Roman"/>
        </w:rPr>
        <w:t xml:space="preserve">.  </w:t>
      </w:r>
    </w:p>
    <w:p w:rsidR="00924204" w:rsidRPr="001A4989" w:rsidP="00E53D40" w14:paraId="2E2A3454" w14:textId="77777777">
      <w:pPr>
        <w:pStyle w:val="Heading4"/>
        <w:rPr>
          <w:rFonts w:ascii="Times New Roman" w:hAnsi="Times New Roman"/>
        </w:rPr>
      </w:pPr>
      <w:r w:rsidRPr="001A4989">
        <w:rPr>
          <w:rFonts w:ascii="Times New Roman" w:hAnsi="Times New Roman"/>
        </w:rPr>
        <w:t>Automatic Generator Start or Quick Manual Start</w:t>
      </w:r>
    </w:p>
    <w:p w:rsidR="00C73F04" w:rsidRPr="001A4989" w:rsidP="00C73F04" w14:paraId="242657F4" w14:textId="4EE6B1E5">
      <w:pPr>
        <w:rPr>
          <w:rFonts w:ascii="Times New Roman" w:hAnsi="Times New Roman"/>
        </w:rPr>
      </w:pPr>
      <w:r w:rsidRPr="001A4989">
        <w:rPr>
          <w:rFonts w:ascii="Times New Roman" w:hAnsi="Times New Roman"/>
        </w:rPr>
        <w:t>Covered entities</w:t>
      </w:r>
      <w:r w:rsidRPr="001A4989" w:rsidR="00CD4ACD">
        <w:rPr>
          <w:rFonts w:ascii="Times New Roman" w:hAnsi="Times New Roman"/>
        </w:rPr>
        <w:t xml:space="preserve"> </w:t>
      </w:r>
      <w:r w:rsidRPr="001A4989" w:rsidR="00B207D9">
        <w:rPr>
          <w:rFonts w:ascii="Times New Roman" w:hAnsi="Times New Roman"/>
        </w:rPr>
        <w:t xml:space="preserve">must </w:t>
      </w:r>
      <w:r w:rsidRPr="001A4989" w:rsidR="001971EA">
        <w:rPr>
          <w:rFonts w:ascii="Times New Roman" w:hAnsi="Times New Roman"/>
        </w:rPr>
        <w:t>certify</w:t>
      </w:r>
      <w:r w:rsidRPr="001A4989" w:rsidR="0095428C">
        <w:rPr>
          <w:rFonts w:ascii="Times New Roman" w:hAnsi="Times New Roman"/>
        </w:rPr>
        <w:t xml:space="preserve"> whether</w:t>
      </w:r>
      <w:r w:rsidRPr="001A4989">
        <w:rPr>
          <w:rFonts w:ascii="Times New Roman" w:hAnsi="Times New Roman"/>
        </w:rPr>
        <w:t xml:space="preserve"> generators </w:t>
      </w:r>
      <w:r w:rsidRPr="001A4989" w:rsidR="00B207D9">
        <w:rPr>
          <w:rFonts w:ascii="Times New Roman" w:hAnsi="Times New Roman"/>
        </w:rPr>
        <w:t xml:space="preserve">either </w:t>
      </w:r>
      <w:r w:rsidRPr="001A4989">
        <w:rPr>
          <w:rFonts w:ascii="Times New Roman" w:hAnsi="Times New Roman"/>
        </w:rPr>
        <w:t>start automatically or can easily be started manually.</w:t>
      </w:r>
      <w:r>
        <w:rPr>
          <w:rStyle w:val="FootnoteReference"/>
          <w:rFonts w:ascii="Times New Roman" w:hAnsi="Times New Roman"/>
        </w:rPr>
        <w:footnoteReference w:id="27"/>
      </w:r>
      <w:r w:rsidRPr="001A4989">
        <w:rPr>
          <w:rFonts w:ascii="Times New Roman" w:hAnsi="Times New Roman"/>
        </w:rPr>
        <w:t xml:space="preserve">  For this requirement, </w:t>
      </w:r>
      <w:r w:rsidRPr="001A4989">
        <w:rPr>
          <w:rFonts w:ascii="Times New Roman" w:hAnsi="Times New Roman"/>
        </w:rPr>
        <w:t>covered entities</w:t>
      </w:r>
      <w:r w:rsidRPr="001A4989">
        <w:rPr>
          <w:rFonts w:ascii="Times New Roman" w:hAnsi="Times New Roman"/>
        </w:rPr>
        <w:t xml:space="preserve"> </w:t>
      </w:r>
      <w:r w:rsidRPr="00646994" w:rsidR="00952C7F">
        <w:rPr>
          <w:rFonts w:ascii="Times New Roman" w:hAnsi="Times New Roman" w:cs="Times New Roman"/>
        </w:rPr>
        <w:t xml:space="preserve">certified that they have </w:t>
      </w:r>
      <w:r w:rsidR="00826677">
        <w:rPr>
          <w:rFonts w:ascii="Times New Roman" w:hAnsi="Times New Roman" w:cs="Times New Roman"/>
        </w:rPr>
        <w:t>implemented</w:t>
      </w:r>
      <w:r w:rsidRPr="001A4989" w:rsidR="00826677">
        <w:rPr>
          <w:rFonts w:ascii="Times New Roman" w:hAnsi="Times New Roman"/>
        </w:rPr>
        <w:t xml:space="preserve"> </w:t>
      </w:r>
      <w:r w:rsidRPr="001A4989">
        <w:rPr>
          <w:rFonts w:ascii="Times New Roman" w:hAnsi="Times New Roman"/>
        </w:rPr>
        <w:t xml:space="preserve">alternative measures for only </w:t>
      </w:r>
      <w:r w:rsidRPr="001A4989" w:rsidR="00043217">
        <w:rPr>
          <w:rFonts w:ascii="Times New Roman" w:hAnsi="Times New Roman"/>
        </w:rPr>
        <w:t>1</w:t>
      </w:r>
      <w:r w:rsidR="00043217">
        <w:rPr>
          <w:rFonts w:ascii="Times New Roman" w:hAnsi="Times New Roman"/>
        </w:rPr>
        <w:t>0</w:t>
      </w:r>
      <w:r w:rsidRPr="001A4989" w:rsidR="00043217">
        <w:rPr>
          <w:rFonts w:ascii="Times New Roman" w:hAnsi="Times New Roman"/>
        </w:rPr>
        <w:t xml:space="preserve">9 </w:t>
      </w:r>
      <w:r w:rsidRPr="001A4989" w:rsidR="003359EB">
        <w:rPr>
          <w:rFonts w:ascii="Times New Roman" w:hAnsi="Times New Roman"/>
        </w:rPr>
        <w:t>of the 5,</w:t>
      </w:r>
      <w:r w:rsidRPr="001A4989" w:rsidR="002E5213">
        <w:rPr>
          <w:rFonts w:ascii="Times New Roman" w:hAnsi="Times New Roman"/>
        </w:rPr>
        <w:t>315</w:t>
      </w:r>
      <w:r w:rsidRPr="001A4989" w:rsidR="003359EB">
        <w:rPr>
          <w:rFonts w:ascii="Times New Roman" w:hAnsi="Times New Roman"/>
        </w:rPr>
        <w:t xml:space="preserve"> </w:t>
      </w:r>
      <w:r w:rsidRPr="001A4989">
        <w:rPr>
          <w:rFonts w:ascii="Times New Roman" w:hAnsi="Times New Roman"/>
        </w:rPr>
        <w:t xml:space="preserve">central offices.  Of these </w:t>
      </w:r>
      <w:r w:rsidRPr="001A4989" w:rsidR="000E70C0">
        <w:rPr>
          <w:rFonts w:ascii="Times New Roman" w:hAnsi="Times New Roman"/>
        </w:rPr>
        <w:t>1</w:t>
      </w:r>
      <w:r w:rsidR="000E70C0">
        <w:rPr>
          <w:rFonts w:ascii="Times New Roman" w:hAnsi="Times New Roman"/>
        </w:rPr>
        <w:t>0</w:t>
      </w:r>
      <w:r w:rsidRPr="001A4989" w:rsidR="000E70C0">
        <w:rPr>
          <w:rFonts w:ascii="Times New Roman" w:hAnsi="Times New Roman"/>
        </w:rPr>
        <w:t xml:space="preserve">9 </w:t>
      </w:r>
      <w:r w:rsidRPr="001A4989">
        <w:rPr>
          <w:rFonts w:ascii="Times New Roman" w:hAnsi="Times New Roman"/>
        </w:rPr>
        <w:t>central offices, 10</w:t>
      </w:r>
      <w:r w:rsidR="0078487E">
        <w:rPr>
          <w:rFonts w:ascii="Times New Roman" w:hAnsi="Times New Roman"/>
        </w:rPr>
        <w:t>8</w:t>
      </w:r>
      <w:r w:rsidRPr="001A4989">
        <w:rPr>
          <w:rFonts w:ascii="Times New Roman" w:hAnsi="Times New Roman"/>
        </w:rPr>
        <w:t xml:space="preserve"> have portable generators available and </w:t>
      </w:r>
      <w:r w:rsidR="0078487E">
        <w:rPr>
          <w:rFonts w:ascii="Times New Roman" w:hAnsi="Times New Roman"/>
        </w:rPr>
        <w:t xml:space="preserve">one </w:t>
      </w:r>
      <w:r w:rsidRPr="001A4989">
        <w:rPr>
          <w:rFonts w:ascii="Times New Roman" w:hAnsi="Times New Roman"/>
        </w:rPr>
        <w:t>ha</w:t>
      </w:r>
      <w:r w:rsidR="0078487E">
        <w:rPr>
          <w:rFonts w:ascii="Times New Roman" w:hAnsi="Times New Roman"/>
        </w:rPr>
        <w:t>s</w:t>
      </w:r>
      <w:r w:rsidRPr="001A4989">
        <w:rPr>
          <w:rFonts w:ascii="Times New Roman" w:hAnsi="Times New Roman"/>
        </w:rPr>
        <w:t xml:space="preserve"> </w:t>
      </w:r>
      <w:r w:rsidR="00043217">
        <w:rPr>
          <w:rFonts w:ascii="Times New Roman" w:hAnsi="Times New Roman"/>
        </w:rPr>
        <w:t>manual start procedures with training on those procedures</w:t>
      </w:r>
      <w:r w:rsidR="00E64223">
        <w:rPr>
          <w:rFonts w:ascii="Times New Roman" w:hAnsi="Times New Roman"/>
        </w:rPr>
        <w:t>.</w:t>
      </w:r>
      <w:r w:rsidRPr="001A4989" w:rsidR="000C363F">
        <w:rPr>
          <w:rFonts w:ascii="Times New Roman" w:hAnsi="Times New Roman"/>
        </w:rPr>
        <w:t xml:space="preserve"> </w:t>
      </w:r>
      <w:r w:rsidRPr="001A4989" w:rsidR="00BE22A3">
        <w:rPr>
          <w:rFonts w:ascii="Times New Roman" w:hAnsi="Times New Roman"/>
        </w:rPr>
        <w:t xml:space="preserve"> </w:t>
      </w:r>
    </w:p>
    <w:p w:rsidR="00D74466" w:rsidRPr="001A4989" w:rsidP="002F7E63" w14:paraId="6E08F285" w14:textId="77777777">
      <w:pPr>
        <w:pStyle w:val="Heading4"/>
        <w:rPr>
          <w:rFonts w:ascii="Times New Roman" w:hAnsi="Times New Roman"/>
        </w:rPr>
      </w:pPr>
      <w:r w:rsidRPr="001A4989">
        <w:rPr>
          <w:rFonts w:ascii="Times New Roman" w:hAnsi="Times New Roman"/>
        </w:rPr>
        <w:t>Tandem Generator</w:t>
      </w:r>
      <w:r w:rsidRPr="001A4989" w:rsidR="00BE22A3">
        <w:rPr>
          <w:rFonts w:ascii="Times New Roman" w:hAnsi="Times New Roman"/>
        </w:rPr>
        <w:t>s</w:t>
      </w:r>
    </w:p>
    <w:p w:rsidR="00A421B8" w:rsidRPr="001A4989" w:rsidP="00A421B8" w14:paraId="684CD213" w14:textId="03437ABB">
      <w:pPr>
        <w:rPr>
          <w:rFonts w:ascii="Times New Roman" w:hAnsi="Times New Roman"/>
        </w:rPr>
      </w:pPr>
      <w:r w:rsidRPr="001A4989">
        <w:rPr>
          <w:rFonts w:ascii="Times New Roman" w:hAnsi="Times New Roman"/>
        </w:rPr>
        <w:t xml:space="preserve">Tandem generators are a pair of </w:t>
      </w:r>
      <w:r w:rsidRPr="001A4989" w:rsidR="009659FF">
        <w:rPr>
          <w:rFonts w:ascii="Times New Roman" w:hAnsi="Times New Roman"/>
        </w:rPr>
        <w:t xml:space="preserve">connected </w:t>
      </w:r>
      <w:r w:rsidRPr="001A4989">
        <w:rPr>
          <w:rFonts w:ascii="Times New Roman" w:hAnsi="Times New Roman"/>
        </w:rPr>
        <w:t>generators</w:t>
      </w:r>
      <w:r w:rsidRPr="001A4989" w:rsidR="008559EE">
        <w:rPr>
          <w:rFonts w:ascii="Times New Roman" w:hAnsi="Times New Roman"/>
        </w:rPr>
        <w:t xml:space="preserve"> in </w:t>
      </w:r>
      <w:r w:rsidRPr="00646994" w:rsidR="008559EE">
        <w:rPr>
          <w:rFonts w:ascii="Times New Roman" w:hAnsi="Times New Roman" w:cs="Times New Roman"/>
        </w:rPr>
        <w:t xml:space="preserve">a </w:t>
      </w:r>
      <w:r w:rsidRPr="00646994" w:rsidR="009D602B">
        <w:rPr>
          <w:rFonts w:ascii="Times New Roman" w:hAnsi="Times New Roman" w:cs="Times New Roman"/>
        </w:rPr>
        <w:t>central</w:t>
      </w:r>
      <w:r w:rsidRPr="001A4989" w:rsidR="009D602B">
        <w:rPr>
          <w:rFonts w:ascii="Times New Roman" w:hAnsi="Times New Roman"/>
        </w:rPr>
        <w:t xml:space="preserve"> </w:t>
      </w:r>
      <w:r w:rsidRPr="001A4989" w:rsidR="008559EE">
        <w:rPr>
          <w:rFonts w:ascii="Times New Roman" w:hAnsi="Times New Roman"/>
        </w:rPr>
        <w:t>office</w:t>
      </w:r>
      <w:r w:rsidRPr="001A4989" w:rsidR="009659FF">
        <w:rPr>
          <w:rFonts w:ascii="Times New Roman" w:hAnsi="Times New Roman"/>
        </w:rPr>
        <w:t xml:space="preserve"> that work together to power equipment</w:t>
      </w:r>
      <w:r w:rsidRPr="001A4989">
        <w:rPr>
          <w:rFonts w:ascii="Times New Roman" w:hAnsi="Times New Roman"/>
        </w:rPr>
        <w:t xml:space="preserve">. </w:t>
      </w:r>
      <w:r w:rsidRPr="001A4989" w:rsidR="00523660">
        <w:rPr>
          <w:rFonts w:ascii="Times New Roman" w:hAnsi="Times New Roman"/>
        </w:rPr>
        <w:t xml:space="preserve"> </w:t>
      </w:r>
      <w:r w:rsidRPr="001A4989" w:rsidR="009E7D70">
        <w:rPr>
          <w:rFonts w:ascii="Times New Roman" w:hAnsi="Times New Roman"/>
        </w:rPr>
        <w:t>Covered entities</w:t>
      </w:r>
      <w:r w:rsidRPr="001A4989" w:rsidR="00E51232">
        <w:rPr>
          <w:rFonts w:ascii="Times New Roman" w:hAnsi="Times New Roman"/>
        </w:rPr>
        <w:t xml:space="preserve"> </w:t>
      </w:r>
      <w:r w:rsidRPr="001A4989" w:rsidR="00B207D9">
        <w:rPr>
          <w:rFonts w:ascii="Times New Roman" w:hAnsi="Times New Roman"/>
        </w:rPr>
        <w:t xml:space="preserve">must </w:t>
      </w:r>
      <w:r w:rsidRPr="001A4989" w:rsidR="001971EA">
        <w:rPr>
          <w:rFonts w:ascii="Times New Roman" w:hAnsi="Times New Roman"/>
        </w:rPr>
        <w:t xml:space="preserve">certify </w:t>
      </w:r>
      <w:r w:rsidRPr="001A4989">
        <w:rPr>
          <w:rFonts w:ascii="Times New Roman" w:hAnsi="Times New Roman"/>
        </w:rPr>
        <w:t xml:space="preserve">that offices with tandem generators </w:t>
      </w:r>
      <w:r w:rsidRPr="001A4989" w:rsidR="008559EE">
        <w:rPr>
          <w:rFonts w:ascii="Times New Roman" w:hAnsi="Times New Roman"/>
        </w:rPr>
        <w:t xml:space="preserve">are </w:t>
      </w:r>
      <w:r w:rsidRPr="001A4989">
        <w:rPr>
          <w:rFonts w:ascii="Times New Roman" w:hAnsi="Times New Roman"/>
        </w:rPr>
        <w:t xml:space="preserve">able to function if one of the generators </w:t>
      </w:r>
      <w:r w:rsidRPr="001A4989" w:rsidR="00C9361A">
        <w:rPr>
          <w:rFonts w:ascii="Times New Roman" w:hAnsi="Times New Roman"/>
        </w:rPr>
        <w:t>fails or</w:t>
      </w:r>
      <w:r w:rsidRPr="001A4989" w:rsidR="0095428C">
        <w:rPr>
          <w:rFonts w:ascii="Times New Roman" w:hAnsi="Times New Roman"/>
        </w:rPr>
        <w:t xml:space="preserve"> have alternative measures</w:t>
      </w:r>
      <w:r w:rsidR="00C9361A">
        <w:rPr>
          <w:rFonts w:ascii="Times New Roman" w:hAnsi="Times New Roman" w:cs="Times New Roman"/>
        </w:rPr>
        <w:t xml:space="preserve"> in place</w:t>
      </w:r>
      <w:r w:rsidRPr="001A4989">
        <w:rPr>
          <w:rFonts w:ascii="Times New Roman" w:hAnsi="Times New Roman"/>
        </w:rPr>
        <w:t>.</w:t>
      </w:r>
      <w:r>
        <w:rPr>
          <w:rStyle w:val="FootnoteReference"/>
          <w:rFonts w:ascii="Times New Roman" w:hAnsi="Times New Roman"/>
        </w:rPr>
        <w:footnoteReference w:id="28"/>
      </w:r>
      <w:r w:rsidRPr="001A4989">
        <w:rPr>
          <w:rFonts w:ascii="Times New Roman" w:hAnsi="Times New Roman"/>
        </w:rPr>
        <w:t xml:space="preserve">  </w:t>
      </w:r>
      <w:r w:rsidRPr="001A4989" w:rsidR="00541093">
        <w:rPr>
          <w:rFonts w:ascii="Times New Roman" w:hAnsi="Times New Roman"/>
        </w:rPr>
        <w:t>While m</w:t>
      </w:r>
      <w:r w:rsidRPr="001A4989" w:rsidR="00B03845">
        <w:rPr>
          <w:rFonts w:ascii="Times New Roman" w:hAnsi="Times New Roman"/>
        </w:rPr>
        <w:t>ost offices with tandem generators satis</w:t>
      </w:r>
      <w:r w:rsidRPr="001A4989" w:rsidR="00541093">
        <w:rPr>
          <w:rFonts w:ascii="Times New Roman" w:hAnsi="Times New Roman"/>
        </w:rPr>
        <w:t>fy this certification element, a</w:t>
      </w:r>
      <w:r w:rsidRPr="001A4989" w:rsidR="00037CE3">
        <w:rPr>
          <w:rFonts w:ascii="Times New Roman" w:hAnsi="Times New Roman"/>
        </w:rPr>
        <w:t>lternative measures were provided for</w:t>
      </w:r>
      <w:r w:rsidRPr="001A4989">
        <w:rPr>
          <w:rFonts w:ascii="Times New Roman" w:hAnsi="Times New Roman"/>
        </w:rPr>
        <w:t xml:space="preserve"> 12 central offices</w:t>
      </w:r>
      <w:r w:rsidRPr="001A4989" w:rsidR="00B207D9">
        <w:rPr>
          <w:rFonts w:ascii="Times New Roman" w:hAnsi="Times New Roman"/>
        </w:rPr>
        <w:t xml:space="preserve"> </w:t>
      </w:r>
      <w:r w:rsidRPr="001A4989">
        <w:rPr>
          <w:rFonts w:ascii="Times New Roman" w:hAnsi="Times New Roman"/>
        </w:rPr>
        <w:t xml:space="preserve">with </w:t>
      </w:r>
      <w:r w:rsidRPr="001A4989" w:rsidR="00111C93">
        <w:rPr>
          <w:rFonts w:ascii="Times New Roman" w:hAnsi="Times New Roman"/>
        </w:rPr>
        <w:t>tandem generators</w:t>
      </w:r>
      <w:r w:rsidRPr="001A4989">
        <w:rPr>
          <w:rFonts w:ascii="Times New Roman" w:hAnsi="Times New Roman"/>
        </w:rPr>
        <w:t xml:space="preserve">.  In </w:t>
      </w:r>
      <w:r w:rsidRPr="001A4989" w:rsidR="00BE22A3">
        <w:rPr>
          <w:rFonts w:ascii="Times New Roman" w:hAnsi="Times New Roman"/>
        </w:rPr>
        <w:t>ten</w:t>
      </w:r>
      <w:r w:rsidRPr="001A4989">
        <w:rPr>
          <w:rFonts w:ascii="Times New Roman" w:hAnsi="Times New Roman"/>
        </w:rPr>
        <w:t xml:space="preserve"> of those c</w:t>
      </w:r>
      <w:r w:rsidRPr="001A4989" w:rsidR="00037CE3">
        <w:rPr>
          <w:rFonts w:ascii="Times New Roman" w:hAnsi="Times New Roman"/>
        </w:rPr>
        <w:t>entral offices,</w:t>
      </w:r>
      <w:r w:rsidRPr="001A4989">
        <w:rPr>
          <w:rFonts w:ascii="Times New Roman" w:hAnsi="Times New Roman"/>
        </w:rPr>
        <w:t xml:space="preserve"> the </w:t>
      </w:r>
      <w:r w:rsidRPr="001A4989" w:rsidR="009E7D70">
        <w:rPr>
          <w:rFonts w:ascii="Times New Roman" w:hAnsi="Times New Roman"/>
        </w:rPr>
        <w:t>covered entities</w:t>
      </w:r>
      <w:r w:rsidRPr="001A4989">
        <w:rPr>
          <w:rFonts w:ascii="Times New Roman" w:hAnsi="Times New Roman"/>
        </w:rPr>
        <w:t xml:space="preserve"> implemented load shedding arrangements so that the central office w</w:t>
      </w:r>
      <w:r w:rsidRPr="001A4989" w:rsidR="00BE22A3">
        <w:rPr>
          <w:rFonts w:ascii="Times New Roman" w:hAnsi="Times New Roman"/>
        </w:rPr>
        <w:t>ould</w:t>
      </w:r>
      <w:r w:rsidRPr="001A4989">
        <w:rPr>
          <w:rFonts w:ascii="Times New Roman" w:hAnsi="Times New Roman"/>
        </w:rPr>
        <w:t xml:space="preserve"> continue to function with only one </w:t>
      </w:r>
      <w:r w:rsidRPr="001A4989" w:rsidR="00037CE3">
        <w:rPr>
          <w:rFonts w:ascii="Times New Roman" w:hAnsi="Times New Roman"/>
        </w:rPr>
        <w:t xml:space="preserve">working </w:t>
      </w:r>
      <w:r w:rsidRPr="001A4989">
        <w:rPr>
          <w:rFonts w:ascii="Times New Roman" w:hAnsi="Times New Roman"/>
        </w:rPr>
        <w:t>generator.</w:t>
      </w:r>
      <w:r>
        <w:rPr>
          <w:rStyle w:val="FootnoteReference"/>
          <w:rFonts w:ascii="Times New Roman" w:hAnsi="Times New Roman"/>
        </w:rPr>
        <w:footnoteReference w:id="29"/>
      </w:r>
      <w:r w:rsidRPr="001A4989">
        <w:rPr>
          <w:rFonts w:ascii="Times New Roman" w:hAnsi="Times New Roman"/>
        </w:rPr>
        <w:t xml:space="preserve"> </w:t>
      </w:r>
      <w:r w:rsidRPr="001A4989" w:rsidR="00F723D4">
        <w:rPr>
          <w:rFonts w:ascii="Times New Roman" w:hAnsi="Times New Roman"/>
        </w:rPr>
        <w:t xml:space="preserve"> </w:t>
      </w:r>
    </w:p>
    <w:p w:rsidR="00D71738" w:rsidRPr="00A6065A" w:rsidP="00846985" w14:paraId="6624032F" w14:textId="77777777">
      <w:pPr>
        <w:pStyle w:val="Heading2"/>
        <w:numPr>
          <w:ilvl w:val="0"/>
          <w:numId w:val="10"/>
        </w:numPr>
        <w:ind w:left="720"/>
        <w:rPr>
          <w:rFonts w:ascii="Times New Roman" w:hAnsi="Times New Roman"/>
          <w:sz w:val="28"/>
        </w:rPr>
      </w:pPr>
      <w:bookmarkStart w:id="21" w:name="_Toc513123980"/>
      <w:r w:rsidRPr="00A6065A">
        <w:rPr>
          <w:rFonts w:ascii="Times New Roman" w:hAnsi="Times New Roman"/>
          <w:sz w:val="28"/>
        </w:rPr>
        <w:t>Network Monitoring</w:t>
      </w:r>
      <w:bookmarkEnd w:id="21"/>
    </w:p>
    <w:p w:rsidR="00D74466" w:rsidRPr="001A4989" w:rsidP="00D71738" w14:paraId="0E9B0B94" w14:textId="77777777">
      <w:pPr>
        <w:rPr>
          <w:rFonts w:ascii="Times New Roman" w:hAnsi="Times New Roman"/>
        </w:rPr>
      </w:pPr>
      <w:r w:rsidRPr="001A4989">
        <w:rPr>
          <w:rFonts w:ascii="Times New Roman" w:hAnsi="Times New Roman"/>
        </w:rPr>
        <w:t xml:space="preserve">The third certification </w:t>
      </w:r>
      <w:r w:rsidRPr="001A4989" w:rsidR="00BE22A3">
        <w:rPr>
          <w:rFonts w:ascii="Times New Roman" w:hAnsi="Times New Roman"/>
        </w:rPr>
        <w:t xml:space="preserve">element </w:t>
      </w:r>
      <w:r w:rsidRPr="001A4989">
        <w:rPr>
          <w:rFonts w:ascii="Times New Roman" w:hAnsi="Times New Roman"/>
        </w:rPr>
        <w:t xml:space="preserve">is diverse monitoring </w:t>
      </w:r>
      <w:r w:rsidRPr="001A4989" w:rsidR="00666B9C">
        <w:rPr>
          <w:rFonts w:ascii="Times New Roman" w:hAnsi="Times New Roman"/>
        </w:rPr>
        <w:t>for</w:t>
      </w:r>
      <w:r w:rsidRPr="001A4989">
        <w:rPr>
          <w:rFonts w:ascii="Times New Roman" w:hAnsi="Times New Roman"/>
        </w:rPr>
        <w:t xml:space="preserve"> 911 </w:t>
      </w:r>
      <w:r w:rsidRPr="001A4989" w:rsidR="006314F6">
        <w:rPr>
          <w:rFonts w:ascii="Times New Roman" w:hAnsi="Times New Roman"/>
        </w:rPr>
        <w:t>s</w:t>
      </w:r>
      <w:r w:rsidRPr="001A4989">
        <w:rPr>
          <w:rFonts w:ascii="Times New Roman" w:hAnsi="Times New Roman"/>
        </w:rPr>
        <w:t xml:space="preserve">ervice </w:t>
      </w:r>
      <w:r w:rsidRPr="001A4989" w:rsidR="006314F6">
        <w:rPr>
          <w:rFonts w:ascii="Times New Roman" w:hAnsi="Times New Roman"/>
        </w:rPr>
        <w:t>a</w:t>
      </w:r>
      <w:r w:rsidRPr="001A4989">
        <w:rPr>
          <w:rFonts w:ascii="Times New Roman" w:hAnsi="Times New Roman"/>
        </w:rPr>
        <w:t xml:space="preserve">reas. </w:t>
      </w:r>
      <w:r w:rsidRPr="001A4989">
        <w:rPr>
          <w:rFonts w:ascii="Times New Roman" w:hAnsi="Times New Roman"/>
        </w:rPr>
        <w:t xml:space="preserve"> </w:t>
      </w:r>
      <w:r w:rsidRPr="001A4989" w:rsidR="00347CEE">
        <w:rPr>
          <w:rFonts w:ascii="Times New Roman" w:hAnsi="Times New Roman"/>
        </w:rPr>
        <w:t>The Commission’s rule</w:t>
      </w:r>
      <w:r w:rsidRPr="001A4989" w:rsidR="009F4D25">
        <w:rPr>
          <w:rFonts w:ascii="Times New Roman" w:hAnsi="Times New Roman"/>
        </w:rPr>
        <w:t>s</w:t>
      </w:r>
      <w:r w:rsidRPr="001A4989" w:rsidR="00347CEE">
        <w:rPr>
          <w:rFonts w:ascii="Times New Roman" w:hAnsi="Times New Roman"/>
        </w:rPr>
        <w:t xml:space="preserve"> require that </w:t>
      </w:r>
      <w:r w:rsidRPr="001A4989" w:rsidR="009E7D70">
        <w:rPr>
          <w:rFonts w:ascii="Times New Roman" w:hAnsi="Times New Roman"/>
        </w:rPr>
        <w:t>covered entities</w:t>
      </w:r>
      <w:r w:rsidRPr="001A4989" w:rsidR="00347CEE">
        <w:rPr>
          <w:rFonts w:ascii="Times New Roman" w:hAnsi="Times New Roman"/>
        </w:rPr>
        <w:t xml:space="preserve"> certify whether </w:t>
      </w:r>
      <w:r w:rsidRPr="001A4989" w:rsidR="00BC2829">
        <w:rPr>
          <w:rFonts w:ascii="Times New Roman" w:hAnsi="Times New Roman"/>
        </w:rPr>
        <w:t>they have</w:t>
      </w:r>
      <w:r w:rsidRPr="001A4989" w:rsidR="009F4D25">
        <w:rPr>
          <w:rFonts w:ascii="Times New Roman" w:hAnsi="Times New Roman"/>
        </w:rPr>
        <w:t xml:space="preserve"> </w:t>
      </w:r>
      <w:r w:rsidRPr="001A4989" w:rsidR="00347CEE">
        <w:rPr>
          <w:rFonts w:ascii="Times New Roman" w:hAnsi="Times New Roman"/>
        </w:rPr>
        <w:t xml:space="preserve">conducted diversity audits of both the aggregation points that </w:t>
      </w:r>
      <w:r w:rsidRPr="001A4989" w:rsidR="00DD7A0B">
        <w:rPr>
          <w:rFonts w:ascii="Times New Roman" w:hAnsi="Times New Roman"/>
        </w:rPr>
        <w:t>they</w:t>
      </w:r>
      <w:r w:rsidRPr="001A4989" w:rsidR="00347CEE">
        <w:rPr>
          <w:rFonts w:ascii="Times New Roman" w:hAnsi="Times New Roman"/>
        </w:rPr>
        <w:t xml:space="preserve"> use to gather network monitoring data in each 911 service area,</w:t>
      </w:r>
      <w:r>
        <w:rPr>
          <w:rStyle w:val="FootnoteReference"/>
          <w:rFonts w:ascii="Times New Roman" w:hAnsi="Times New Roman"/>
        </w:rPr>
        <w:footnoteReference w:id="30"/>
      </w:r>
      <w:r w:rsidRPr="001A4989" w:rsidR="00347CEE">
        <w:rPr>
          <w:rFonts w:ascii="Times New Roman" w:hAnsi="Times New Roman"/>
        </w:rPr>
        <w:t xml:space="preserve"> and the monitoring links between these aggregations points and </w:t>
      </w:r>
      <w:r w:rsidRPr="001A4989" w:rsidR="00DD7A0B">
        <w:rPr>
          <w:rFonts w:ascii="Times New Roman" w:hAnsi="Times New Roman"/>
        </w:rPr>
        <w:t xml:space="preserve">Network Operations Centers </w:t>
      </w:r>
      <w:r w:rsidRPr="001A4989" w:rsidR="00347CEE">
        <w:rPr>
          <w:rFonts w:ascii="Times New Roman" w:hAnsi="Times New Roman"/>
        </w:rPr>
        <w:t>for each 911 service area.</w:t>
      </w:r>
      <w:r>
        <w:rPr>
          <w:rStyle w:val="FootnoteReference"/>
          <w:rFonts w:ascii="Times New Roman" w:hAnsi="Times New Roman"/>
        </w:rPr>
        <w:footnoteReference w:id="31"/>
      </w:r>
      <w:r w:rsidRPr="001A4989" w:rsidR="00347CEE">
        <w:rPr>
          <w:rFonts w:ascii="Times New Roman" w:hAnsi="Times New Roman"/>
        </w:rPr>
        <w:t xml:space="preserve">  Additionally, </w:t>
      </w:r>
      <w:r w:rsidRPr="001A4989" w:rsidR="009E7D70">
        <w:rPr>
          <w:rFonts w:ascii="Times New Roman" w:hAnsi="Times New Roman"/>
        </w:rPr>
        <w:t>covered entities</w:t>
      </w:r>
      <w:r w:rsidRPr="001A4989" w:rsidR="00347CEE">
        <w:rPr>
          <w:rFonts w:ascii="Times New Roman" w:hAnsi="Times New Roman"/>
        </w:rPr>
        <w:t xml:space="preserve"> must certify </w:t>
      </w:r>
      <w:r w:rsidRPr="001A4989" w:rsidR="00E94AB6">
        <w:rPr>
          <w:rFonts w:ascii="Times New Roman" w:hAnsi="Times New Roman"/>
        </w:rPr>
        <w:t xml:space="preserve">whether </w:t>
      </w:r>
      <w:r w:rsidRPr="001A4989" w:rsidR="00347CEE">
        <w:rPr>
          <w:rFonts w:ascii="Times New Roman" w:hAnsi="Times New Roman"/>
        </w:rPr>
        <w:t>they have implemented physical diverse aggregation points and monitoring links for those aggregation points in each 911 service area.</w:t>
      </w:r>
      <w:r>
        <w:rPr>
          <w:rStyle w:val="FootnoteReference"/>
          <w:rFonts w:ascii="Times New Roman" w:hAnsi="Times New Roman"/>
        </w:rPr>
        <w:footnoteReference w:id="32"/>
      </w:r>
      <w:r w:rsidRPr="001A4989" w:rsidR="00347CEE">
        <w:rPr>
          <w:rFonts w:ascii="Times New Roman" w:hAnsi="Times New Roman"/>
        </w:rPr>
        <w:t xml:space="preserve">  </w:t>
      </w:r>
      <w:r w:rsidRPr="001A4989" w:rsidR="009E7D70">
        <w:rPr>
          <w:rFonts w:ascii="Times New Roman" w:hAnsi="Times New Roman"/>
        </w:rPr>
        <w:t>Covered entities</w:t>
      </w:r>
      <w:r w:rsidRPr="001A4989" w:rsidR="00347CEE">
        <w:rPr>
          <w:rFonts w:ascii="Times New Roman" w:hAnsi="Times New Roman"/>
        </w:rPr>
        <w:t xml:space="preserve"> that do not directly meet this element must certify </w:t>
      </w:r>
      <w:r w:rsidRPr="001A4989" w:rsidR="00E94AB6">
        <w:rPr>
          <w:rFonts w:ascii="Times New Roman" w:hAnsi="Times New Roman"/>
        </w:rPr>
        <w:t xml:space="preserve">whether </w:t>
      </w:r>
      <w:r w:rsidRPr="001A4989" w:rsidR="00347CEE">
        <w:rPr>
          <w:rFonts w:ascii="Times New Roman" w:hAnsi="Times New Roman"/>
        </w:rPr>
        <w:t>they have taken alternative measures to mitigate the risk of network monitoring facilities that are not physically diverse.</w:t>
      </w:r>
      <w:r>
        <w:rPr>
          <w:rStyle w:val="FootnoteReference"/>
          <w:rFonts w:ascii="Times New Roman" w:hAnsi="Times New Roman"/>
        </w:rPr>
        <w:footnoteReference w:id="33"/>
      </w:r>
    </w:p>
    <w:p w:rsidR="00541093" w:rsidRPr="001A4989" w:rsidP="008F3DE6" w14:paraId="46928CC0" w14:textId="60721F80">
      <w:pPr>
        <w:rPr>
          <w:rFonts w:ascii="Times New Roman" w:hAnsi="Times New Roman"/>
        </w:rPr>
      </w:pPr>
      <w:r w:rsidRPr="001A4989">
        <w:rPr>
          <w:rFonts w:ascii="Times New Roman" w:hAnsi="Times New Roman"/>
        </w:rPr>
        <w:t xml:space="preserve">The </w:t>
      </w:r>
      <w:r w:rsidRPr="001A4989" w:rsidR="00CB1358">
        <w:rPr>
          <w:rFonts w:ascii="Times New Roman" w:hAnsi="Times New Roman"/>
        </w:rPr>
        <w:t xml:space="preserve">following </w:t>
      </w:r>
      <w:r w:rsidRPr="001A4989">
        <w:rPr>
          <w:rFonts w:ascii="Times New Roman" w:hAnsi="Times New Roman"/>
        </w:rPr>
        <w:t xml:space="preserve">table </w:t>
      </w:r>
      <w:r w:rsidRPr="001A4989" w:rsidR="00E312E4">
        <w:rPr>
          <w:rFonts w:ascii="Times New Roman" w:hAnsi="Times New Roman"/>
        </w:rPr>
        <w:t>summarizes</w:t>
      </w:r>
      <w:r w:rsidRPr="001A4989">
        <w:rPr>
          <w:rFonts w:ascii="Times New Roman" w:hAnsi="Times New Roman"/>
        </w:rPr>
        <w:t xml:space="preserve"> the diverse monitoring </w:t>
      </w:r>
      <w:r w:rsidRPr="001A4989" w:rsidR="00E312E4">
        <w:rPr>
          <w:rFonts w:ascii="Times New Roman" w:hAnsi="Times New Roman"/>
        </w:rPr>
        <w:t>certifications</w:t>
      </w:r>
      <w:r w:rsidRPr="001A4989" w:rsidR="00E51232">
        <w:rPr>
          <w:rFonts w:ascii="Times New Roman" w:hAnsi="Times New Roman"/>
        </w:rPr>
        <w:t xml:space="preserve"> that </w:t>
      </w:r>
      <w:r w:rsidRPr="001A4989" w:rsidR="009E7D70">
        <w:rPr>
          <w:rFonts w:ascii="Times New Roman" w:hAnsi="Times New Roman"/>
        </w:rPr>
        <w:t>covered entities</w:t>
      </w:r>
      <w:r w:rsidRPr="001A4989" w:rsidR="006314F6">
        <w:rPr>
          <w:rFonts w:ascii="Times New Roman" w:hAnsi="Times New Roman"/>
        </w:rPr>
        <w:t xml:space="preserve"> submitted</w:t>
      </w:r>
      <w:r w:rsidRPr="001A4989" w:rsidR="001226A8">
        <w:rPr>
          <w:rFonts w:ascii="Times New Roman" w:hAnsi="Times New Roman"/>
        </w:rPr>
        <w:t>:</w:t>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610"/>
        <w:gridCol w:w="1260"/>
      </w:tblGrid>
      <w:tr w14:paraId="4EEC7804" w14:textId="77777777" w:rsidTr="0095742F">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B2A61" w:rsidRPr="001A4989" w:rsidP="003B2A61" w14:paraId="7F2E71B2" w14:textId="77777777">
            <w:pPr>
              <w:spacing w:after="0" w:line="240" w:lineRule="auto"/>
              <w:jc w:val="center"/>
              <w:rPr>
                <w:rStyle w:val="DefaultParagraphFont"/>
                <w:rFonts w:ascii="Times New Roman" w:hAnsi="Times New Roman" w:eastAsiaTheme="minorHAnsi" w:cstheme="minorBidi"/>
                <w:b/>
                <w:sz w:val="22"/>
                <w:szCs w:val="22"/>
                <w:lang w:val="en-US" w:eastAsia="en-US" w:bidi="ar-SA"/>
              </w:rPr>
            </w:pPr>
            <w:r w:rsidRPr="001A4989">
              <w:rPr>
                <w:rFonts w:ascii="Times New Roman" w:hAnsi="Times New Roman" w:eastAsiaTheme="minorHAnsi" w:cstheme="minorBidi"/>
                <w:b/>
                <w:color w:val="000000"/>
                <w:sz w:val="20"/>
                <w:szCs w:val="22"/>
                <w:lang w:val="en-US" w:eastAsia="en-US" w:bidi="ar-SA"/>
              </w:rPr>
              <w:t>Diverse Monitoring Requirement</w:t>
            </w:r>
          </w:p>
        </w:tc>
        <w:tc>
          <w:tcPr>
            <w:tcW w:w="1260" w:type="dxa"/>
            <w:tcBorders>
              <w:top w:val="single" w:sz="4" w:space="0" w:color="auto"/>
              <w:left w:val="nil"/>
              <w:bottom w:val="single" w:sz="4" w:space="0" w:color="auto"/>
              <w:right w:val="single" w:sz="4" w:space="0" w:color="auto"/>
            </w:tcBorders>
            <w:shd w:val="clear" w:color="auto" w:fill="auto"/>
            <w:vAlign w:val="center"/>
          </w:tcPr>
          <w:p w:rsidR="003B2A61" w:rsidRPr="001A4989" w:rsidP="004272B6" w14:paraId="33CCB299" w14:textId="77777777">
            <w:pPr>
              <w:spacing w:after="0" w:line="240" w:lineRule="auto"/>
              <w:jc w:val="center"/>
              <w:rPr>
                <w:rStyle w:val="DefaultParagraphFont"/>
                <w:rFonts w:ascii="Times New Roman" w:hAnsi="Times New Roman" w:eastAsiaTheme="minorHAnsi" w:cstheme="minorBidi"/>
                <w:b/>
                <w:sz w:val="22"/>
                <w:szCs w:val="22"/>
                <w:lang w:val="en-US" w:eastAsia="en-US" w:bidi="ar-SA"/>
              </w:rPr>
            </w:pPr>
            <w:r w:rsidRPr="001A4989">
              <w:rPr>
                <w:rFonts w:ascii="Times New Roman" w:hAnsi="Times New Roman" w:eastAsiaTheme="minorHAnsi" w:cstheme="minorBidi"/>
                <w:b/>
                <w:color w:val="000000"/>
                <w:sz w:val="20"/>
                <w:szCs w:val="22"/>
                <w:lang w:val="en-US" w:eastAsia="en-US" w:bidi="ar-SA"/>
              </w:rPr>
              <w:t xml:space="preserve">Number </w:t>
            </w:r>
            <w:r w:rsidRPr="001A4989" w:rsidR="00DD7A0B">
              <w:rPr>
                <w:rFonts w:ascii="Times New Roman" w:hAnsi="Times New Roman" w:eastAsiaTheme="minorHAnsi" w:cstheme="minorBidi"/>
                <w:b/>
                <w:color w:val="000000"/>
                <w:sz w:val="20"/>
                <w:szCs w:val="22"/>
                <w:lang w:val="en-US" w:eastAsia="en-US" w:bidi="ar-SA"/>
              </w:rPr>
              <w:t>o</w:t>
            </w:r>
            <w:r w:rsidRPr="001A4989">
              <w:rPr>
                <w:rFonts w:ascii="Times New Roman" w:hAnsi="Times New Roman" w:eastAsiaTheme="minorHAnsi" w:cstheme="minorBidi"/>
                <w:b/>
                <w:color w:val="000000"/>
                <w:sz w:val="20"/>
                <w:szCs w:val="22"/>
                <w:lang w:val="en-US" w:eastAsia="en-US" w:bidi="ar-SA"/>
              </w:rPr>
              <w:t xml:space="preserve">f </w:t>
            </w:r>
            <w:r w:rsidRPr="00646994" w:rsidR="004272B6">
              <w:rPr>
                <w:rFonts w:ascii="Times New Roman" w:hAnsi="Times New Roman" w:eastAsiaTheme="minorHAnsi" w:cs="Times New Roman"/>
                <w:b/>
                <w:bCs/>
                <w:color w:val="000000"/>
                <w:sz w:val="20"/>
                <w:szCs w:val="20"/>
                <w:lang w:val="en-US" w:eastAsia="en-US" w:bidi="ar-SA"/>
              </w:rPr>
              <w:t>Co</w:t>
            </w:r>
            <w:r w:rsidR="004272B6">
              <w:rPr>
                <w:rFonts w:ascii="Times New Roman" w:hAnsi="Times New Roman" w:eastAsiaTheme="minorHAnsi" w:cs="Times New Roman"/>
                <w:b/>
                <w:bCs/>
                <w:color w:val="000000"/>
                <w:sz w:val="20"/>
                <w:szCs w:val="20"/>
                <w:lang w:val="en-US" w:eastAsia="en-US" w:bidi="ar-SA"/>
              </w:rPr>
              <w:t>vered Entities</w:t>
            </w:r>
          </w:p>
        </w:tc>
      </w:tr>
      <w:tr w14:paraId="47A7648E" w14:textId="77777777" w:rsidTr="0095742F">
        <w:tblPrEx>
          <w:tblW w:w="0" w:type="auto"/>
          <w:jc w:val="center"/>
          <w:tblInd w:w="0" w:type="dxa"/>
          <w:tblCellMar>
            <w:top w:w="0" w:type="dxa"/>
            <w:left w:w="108" w:type="dxa"/>
            <w:bottom w:w="0" w:type="dxa"/>
            <w:right w:w="108" w:type="dxa"/>
          </w:tblCellMar>
          <w:tblLook w:val="04A0"/>
        </w:tblPrEx>
        <w:trPr>
          <w:jc w:val="center"/>
        </w:trPr>
        <w:tc>
          <w:tcPr>
            <w:tcW w:w="2610" w:type="dxa"/>
            <w:tcBorders>
              <w:top w:val="nil"/>
              <w:left w:val="single" w:sz="4" w:space="0" w:color="auto"/>
              <w:bottom w:val="single" w:sz="4" w:space="0" w:color="auto"/>
              <w:right w:val="single" w:sz="4" w:space="0" w:color="auto"/>
            </w:tcBorders>
            <w:shd w:val="clear" w:color="auto" w:fill="auto"/>
            <w:vAlign w:val="bottom"/>
          </w:tcPr>
          <w:p w:rsidR="003B2A61" w:rsidRPr="001A4989" w:rsidP="003B2A61" w14:paraId="60C50286" w14:textId="77777777">
            <w:pPr>
              <w:spacing w:after="0" w:line="240" w:lineRule="auto"/>
              <w:rPr>
                <w:rStyle w:val="DefaultParagraphFont"/>
                <w:rFonts w:ascii="Times New Roman" w:hAnsi="Times New Roman" w:eastAsiaTheme="minorHAnsi" w:cstheme="minorBidi"/>
                <w:sz w:val="22"/>
                <w:szCs w:val="22"/>
                <w:lang w:val="en-US" w:eastAsia="en-US" w:bidi="ar-SA"/>
              </w:rPr>
            </w:pPr>
            <w:r w:rsidRPr="001A4989">
              <w:rPr>
                <w:rFonts w:ascii="Times New Roman" w:hAnsi="Times New Roman" w:eastAsiaTheme="minorHAnsi" w:cstheme="minorBidi"/>
                <w:color w:val="000000"/>
                <w:sz w:val="20"/>
                <w:szCs w:val="22"/>
                <w:lang w:val="en-US" w:eastAsia="en-US" w:bidi="ar-SA"/>
              </w:rPr>
              <w:t xml:space="preserve">Yes for all 911 </w:t>
            </w:r>
            <w:r w:rsidRPr="00646994" w:rsidR="00952C7F">
              <w:rPr>
                <w:rFonts w:ascii="Times New Roman" w:hAnsi="Times New Roman" w:eastAsiaTheme="minorHAnsi" w:cs="Times New Roman"/>
                <w:color w:val="000000"/>
                <w:sz w:val="20"/>
                <w:szCs w:val="20"/>
                <w:lang w:val="en-US" w:eastAsia="en-US" w:bidi="ar-SA"/>
              </w:rPr>
              <w:t>s</w:t>
            </w:r>
            <w:r w:rsidRPr="00646994">
              <w:rPr>
                <w:rFonts w:ascii="Times New Roman" w:hAnsi="Times New Roman" w:eastAsiaTheme="minorHAnsi" w:cs="Times New Roman"/>
                <w:color w:val="000000"/>
                <w:sz w:val="20"/>
                <w:szCs w:val="20"/>
                <w:lang w:val="en-US" w:eastAsia="en-US" w:bidi="ar-SA"/>
              </w:rPr>
              <w:t xml:space="preserve">ervice </w:t>
            </w:r>
            <w:r w:rsidRPr="00646994" w:rsidR="00952C7F">
              <w:rPr>
                <w:rFonts w:ascii="Times New Roman" w:hAnsi="Times New Roman" w:eastAsiaTheme="minorHAnsi" w:cs="Times New Roman"/>
                <w:color w:val="000000"/>
                <w:sz w:val="20"/>
                <w:szCs w:val="20"/>
                <w:lang w:val="en-US" w:eastAsia="en-US" w:bidi="ar-SA"/>
              </w:rPr>
              <w:t>a</w:t>
            </w:r>
            <w:r w:rsidRPr="00646994">
              <w:rPr>
                <w:rFonts w:ascii="Times New Roman" w:hAnsi="Times New Roman" w:eastAsiaTheme="minorHAnsi" w:cs="Times New Roman"/>
                <w:color w:val="000000"/>
                <w:sz w:val="20"/>
                <w:szCs w:val="20"/>
                <w:lang w:val="en-US" w:eastAsia="en-US" w:bidi="ar-SA"/>
              </w:rPr>
              <w:t>reas</w:t>
            </w:r>
          </w:p>
        </w:tc>
        <w:tc>
          <w:tcPr>
            <w:tcW w:w="1260" w:type="dxa"/>
            <w:tcBorders>
              <w:top w:val="nil"/>
              <w:left w:val="nil"/>
              <w:bottom w:val="single" w:sz="4" w:space="0" w:color="auto"/>
              <w:right w:val="single" w:sz="4" w:space="0" w:color="auto"/>
            </w:tcBorders>
            <w:shd w:val="clear" w:color="auto" w:fill="auto"/>
            <w:vAlign w:val="center"/>
          </w:tcPr>
          <w:p w:rsidR="003B2A61" w:rsidRPr="001A4989" w:rsidP="003B2A61" w14:paraId="00FEBD0E" w14:textId="77777777">
            <w:pPr>
              <w:spacing w:after="0" w:line="240" w:lineRule="auto"/>
              <w:jc w:val="right"/>
              <w:rPr>
                <w:rStyle w:val="DefaultParagraphFont"/>
                <w:rFonts w:ascii="Times New Roman" w:hAnsi="Times New Roman" w:eastAsiaTheme="minorHAnsi" w:cstheme="minorBidi"/>
                <w:sz w:val="22"/>
                <w:szCs w:val="22"/>
                <w:lang w:val="en-US" w:eastAsia="en-US" w:bidi="ar-SA"/>
              </w:rPr>
            </w:pPr>
            <w:r w:rsidRPr="001A4989">
              <w:rPr>
                <w:rFonts w:ascii="Times New Roman" w:hAnsi="Times New Roman" w:eastAsiaTheme="minorHAnsi" w:cstheme="minorBidi"/>
                <w:color w:val="000000"/>
                <w:sz w:val="20"/>
                <w:szCs w:val="22"/>
                <w:lang w:val="en-US" w:eastAsia="en-US" w:bidi="ar-SA"/>
              </w:rPr>
              <w:t>51</w:t>
            </w:r>
          </w:p>
        </w:tc>
      </w:tr>
      <w:tr w14:paraId="4B07B5AC" w14:textId="77777777" w:rsidTr="0095742F">
        <w:tblPrEx>
          <w:tblW w:w="0" w:type="auto"/>
          <w:jc w:val="center"/>
          <w:tblInd w:w="0" w:type="dxa"/>
          <w:tblCellMar>
            <w:top w:w="0" w:type="dxa"/>
            <w:left w:w="108" w:type="dxa"/>
            <w:bottom w:w="0" w:type="dxa"/>
            <w:right w:w="108" w:type="dxa"/>
          </w:tblCellMar>
          <w:tblLook w:val="04A0"/>
        </w:tblPrEx>
        <w:trPr>
          <w:jc w:val="center"/>
        </w:trPr>
        <w:tc>
          <w:tcPr>
            <w:tcW w:w="2610" w:type="dxa"/>
            <w:tcBorders>
              <w:top w:val="nil"/>
              <w:left w:val="single" w:sz="4" w:space="0" w:color="auto"/>
              <w:bottom w:val="single" w:sz="4" w:space="0" w:color="auto"/>
              <w:right w:val="single" w:sz="4" w:space="0" w:color="auto"/>
            </w:tcBorders>
            <w:shd w:val="clear" w:color="auto" w:fill="auto"/>
            <w:vAlign w:val="bottom"/>
          </w:tcPr>
          <w:p w:rsidR="003B2A61" w:rsidRPr="001A4989" w:rsidP="003B2A61" w14:paraId="7BC96457" w14:textId="77777777">
            <w:pPr>
              <w:spacing w:after="0" w:line="240" w:lineRule="auto"/>
              <w:rPr>
                <w:rStyle w:val="DefaultParagraphFont"/>
                <w:rFonts w:ascii="Times New Roman" w:hAnsi="Times New Roman" w:eastAsiaTheme="minorHAnsi" w:cstheme="minorBidi"/>
                <w:sz w:val="22"/>
                <w:szCs w:val="22"/>
                <w:lang w:val="en-US" w:eastAsia="en-US" w:bidi="ar-SA"/>
              </w:rPr>
            </w:pPr>
            <w:r w:rsidRPr="001A4989">
              <w:rPr>
                <w:rFonts w:ascii="Times New Roman" w:hAnsi="Times New Roman" w:eastAsiaTheme="minorHAnsi" w:cstheme="minorBidi"/>
                <w:color w:val="000000"/>
                <w:sz w:val="20"/>
                <w:szCs w:val="22"/>
                <w:lang w:val="en-US" w:eastAsia="en-US" w:bidi="ar-SA"/>
              </w:rPr>
              <w:t>Yes for some 911 service areas but alternative measures for other 911 service areas</w:t>
            </w:r>
          </w:p>
        </w:tc>
        <w:tc>
          <w:tcPr>
            <w:tcW w:w="1260" w:type="dxa"/>
            <w:tcBorders>
              <w:top w:val="nil"/>
              <w:left w:val="nil"/>
              <w:bottom w:val="single" w:sz="4" w:space="0" w:color="auto"/>
              <w:right w:val="single" w:sz="4" w:space="0" w:color="auto"/>
            </w:tcBorders>
            <w:shd w:val="clear" w:color="auto" w:fill="auto"/>
            <w:vAlign w:val="center"/>
          </w:tcPr>
          <w:p w:rsidR="003B2A61" w:rsidRPr="001A4989" w:rsidP="003B2A61" w14:paraId="781B5137" w14:textId="77777777">
            <w:pPr>
              <w:spacing w:after="0" w:line="240" w:lineRule="auto"/>
              <w:jc w:val="right"/>
              <w:rPr>
                <w:rStyle w:val="DefaultParagraphFont"/>
                <w:rFonts w:ascii="Times New Roman" w:hAnsi="Times New Roman" w:eastAsiaTheme="minorHAnsi" w:cstheme="minorBidi"/>
                <w:sz w:val="22"/>
                <w:szCs w:val="22"/>
                <w:lang w:val="en-US" w:eastAsia="en-US" w:bidi="ar-SA"/>
              </w:rPr>
            </w:pPr>
            <w:r w:rsidRPr="001A4989">
              <w:rPr>
                <w:rFonts w:ascii="Times New Roman" w:hAnsi="Times New Roman" w:eastAsiaTheme="minorHAnsi" w:cstheme="minorBidi"/>
                <w:color w:val="000000"/>
                <w:sz w:val="20"/>
                <w:szCs w:val="22"/>
                <w:lang w:val="en-US" w:eastAsia="en-US" w:bidi="ar-SA"/>
              </w:rPr>
              <w:t>7</w:t>
            </w:r>
          </w:p>
        </w:tc>
      </w:tr>
      <w:tr w14:paraId="52CF91CC" w14:textId="77777777" w:rsidTr="0095742F">
        <w:tblPrEx>
          <w:tblW w:w="0" w:type="auto"/>
          <w:jc w:val="center"/>
          <w:tblInd w:w="0" w:type="dxa"/>
          <w:tblCellMar>
            <w:top w:w="0" w:type="dxa"/>
            <w:left w:w="108" w:type="dxa"/>
            <w:bottom w:w="0" w:type="dxa"/>
            <w:right w:w="108" w:type="dxa"/>
          </w:tblCellMar>
          <w:tblLook w:val="04A0"/>
        </w:tblPrEx>
        <w:trPr>
          <w:jc w:val="center"/>
        </w:trPr>
        <w:tc>
          <w:tcPr>
            <w:tcW w:w="2610" w:type="dxa"/>
            <w:tcBorders>
              <w:top w:val="nil"/>
              <w:left w:val="single" w:sz="4" w:space="0" w:color="auto"/>
              <w:bottom w:val="single" w:sz="4" w:space="0" w:color="auto"/>
              <w:right w:val="single" w:sz="4" w:space="0" w:color="auto"/>
            </w:tcBorders>
            <w:shd w:val="clear" w:color="auto" w:fill="auto"/>
            <w:vAlign w:val="bottom"/>
          </w:tcPr>
          <w:p w:rsidR="003B2A61" w:rsidRPr="001A4989" w:rsidP="003B2A61" w14:paraId="01D169B8" w14:textId="77777777">
            <w:pPr>
              <w:spacing w:after="0" w:line="240" w:lineRule="auto"/>
              <w:rPr>
                <w:rStyle w:val="DefaultParagraphFont"/>
                <w:rFonts w:ascii="Times New Roman" w:hAnsi="Times New Roman" w:eastAsiaTheme="minorHAnsi" w:cstheme="minorBidi"/>
                <w:sz w:val="22"/>
                <w:szCs w:val="22"/>
                <w:lang w:val="en-US" w:eastAsia="en-US" w:bidi="ar-SA"/>
              </w:rPr>
            </w:pPr>
            <w:r w:rsidRPr="001A4989">
              <w:rPr>
                <w:rFonts w:ascii="Times New Roman" w:hAnsi="Times New Roman" w:eastAsiaTheme="minorHAnsi" w:cstheme="minorBidi"/>
                <w:color w:val="000000"/>
                <w:sz w:val="20"/>
                <w:szCs w:val="22"/>
                <w:lang w:val="en-US" w:eastAsia="en-US" w:bidi="ar-SA"/>
              </w:rPr>
              <w:t>No, but alternative measures for all 911 service areas</w:t>
            </w:r>
          </w:p>
        </w:tc>
        <w:tc>
          <w:tcPr>
            <w:tcW w:w="1260" w:type="dxa"/>
            <w:tcBorders>
              <w:top w:val="nil"/>
              <w:left w:val="nil"/>
              <w:bottom w:val="single" w:sz="4" w:space="0" w:color="auto"/>
              <w:right w:val="single" w:sz="4" w:space="0" w:color="auto"/>
            </w:tcBorders>
            <w:shd w:val="clear" w:color="auto" w:fill="auto"/>
            <w:vAlign w:val="center"/>
          </w:tcPr>
          <w:p w:rsidR="003B2A61" w:rsidRPr="001A4989" w:rsidP="003B2A61" w14:paraId="59D17057" w14:textId="77777777">
            <w:pPr>
              <w:spacing w:after="0" w:line="240" w:lineRule="auto"/>
              <w:jc w:val="right"/>
              <w:rPr>
                <w:rStyle w:val="DefaultParagraphFont"/>
                <w:rFonts w:ascii="Times New Roman" w:hAnsi="Times New Roman" w:eastAsiaTheme="minorHAnsi" w:cstheme="minorBidi"/>
                <w:sz w:val="22"/>
                <w:szCs w:val="22"/>
                <w:lang w:val="en-US" w:eastAsia="en-US" w:bidi="ar-SA"/>
              </w:rPr>
            </w:pPr>
            <w:r w:rsidRPr="001A4989">
              <w:rPr>
                <w:rFonts w:ascii="Times New Roman" w:hAnsi="Times New Roman" w:eastAsiaTheme="minorHAnsi" w:cstheme="minorBidi"/>
                <w:color w:val="000000"/>
                <w:sz w:val="20"/>
                <w:szCs w:val="22"/>
                <w:lang w:val="en-US" w:eastAsia="en-US" w:bidi="ar-SA"/>
              </w:rPr>
              <w:t>10</w:t>
            </w:r>
          </w:p>
        </w:tc>
      </w:tr>
      <w:tr w14:paraId="744444CC" w14:textId="77777777" w:rsidTr="0095742F">
        <w:tblPrEx>
          <w:tblW w:w="0" w:type="auto"/>
          <w:jc w:val="center"/>
          <w:tblInd w:w="0" w:type="dxa"/>
          <w:tblCellMar>
            <w:top w:w="0" w:type="dxa"/>
            <w:left w:w="108" w:type="dxa"/>
            <w:bottom w:w="0" w:type="dxa"/>
            <w:right w:w="108" w:type="dxa"/>
          </w:tblCellMar>
          <w:tblLook w:val="04A0"/>
        </w:tblPrEx>
        <w:trPr>
          <w:jc w:val="center"/>
        </w:trPr>
        <w:tc>
          <w:tcPr>
            <w:tcW w:w="2610" w:type="dxa"/>
            <w:tcBorders>
              <w:top w:val="nil"/>
              <w:left w:val="single" w:sz="4" w:space="0" w:color="auto"/>
              <w:bottom w:val="single" w:sz="4" w:space="0" w:color="auto"/>
              <w:right w:val="single" w:sz="4" w:space="0" w:color="auto"/>
            </w:tcBorders>
            <w:shd w:val="clear" w:color="auto" w:fill="auto"/>
            <w:vAlign w:val="bottom"/>
          </w:tcPr>
          <w:p w:rsidR="003B2A61" w:rsidRPr="001A4989" w:rsidP="003B2A61" w14:paraId="001927F0" w14:textId="77777777">
            <w:pPr>
              <w:spacing w:after="0" w:line="240" w:lineRule="auto"/>
              <w:rPr>
                <w:rStyle w:val="DefaultParagraphFont"/>
                <w:rFonts w:ascii="Times New Roman" w:hAnsi="Times New Roman" w:eastAsiaTheme="minorHAnsi" w:cstheme="minorBidi"/>
                <w:sz w:val="22"/>
                <w:szCs w:val="22"/>
                <w:lang w:val="en-US" w:eastAsia="en-US" w:bidi="ar-SA"/>
              </w:rPr>
            </w:pPr>
            <w:r w:rsidRPr="001A4989">
              <w:rPr>
                <w:rFonts w:ascii="Times New Roman" w:hAnsi="Times New Roman" w:eastAsiaTheme="minorHAnsi" w:cstheme="minorBidi"/>
                <w:color w:val="000000"/>
                <w:sz w:val="20"/>
                <w:szCs w:val="22"/>
                <w:lang w:val="en-US" w:eastAsia="en-US" w:bidi="ar-SA"/>
              </w:rPr>
              <w:t>No</w:t>
            </w:r>
          </w:p>
        </w:tc>
        <w:tc>
          <w:tcPr>
            <w:tcW w:w="1260" w:type="dxa"/>
            <w:tcBorders>
              <w:top w:val="nil"/>
              <w:left w:val="nil"/>
              <w:bottom w:val="single" w:sz="4" w:space="0" w:color="auto"/>
              <w:right w:val="single" w:sz="4" w:space="0" w:color="auto"/>
            </w:tcBorders>
            <w:shd w:val="clear" w:color="auto" w:fill="auto"/>
            <w:vAlign w:val="center"/>
          </w:tcPr>
          <w:p w:rsidR="003B2A61" w:rsidRPr="001A4989" w:rsidP="003B2A61" w14:paraId="601DDA15" w14:textId="77777777">
            <w:pPr>
              <w:spacing w:after="0" w:line="240" w:lineRule="auto"/>
              <w:jc w:val="right"/>
              <w:rPr>
                <w:rStyle w:val="DefaultParagraphFont"/>
                <w:rFonts w:ascii="Times New Roman" w:hAnsi="Times New Roman" w:eastAsiaTheme="minorHAnsi" w:cstheme="minorBidi"/>
                <w:sz w:val="22"/>
                <w:szCs w:val="22"/>
                <w:lang w:val="en-US" w:eastAsia="en-US" w:bidi="ar-SA"/>
              </w:rPr>
            </w:pPr>
            <w:r w:rsidRPr="001A4989">
              <w:rPr>
                <w:rFonts w:ascii="Times New Roman" w:hAnsi="Times New Roman" w:eastAsiaTheme="minorHAnsi" w:cstheme="minorBidi"/>
                <w:color w:val="000000"/>
                <w:sz w:val="20"/>
                <w:szCs w:val="22"/>
                <w:lang w:val="en-US" w:eastAsia="en-US" w:bidi="ar-SA"/>
              </w:rPr>
              <w:t>12</w:t>
            </w:r>
          </w:p>
        </w:tc>
      </w:tr>
      <w:tr w14:paraId="010DCF2E" w14:textId="77777777" w:rsidTr="0095742F">
        <w:tblPrEx>
          <w:tblW w:w="0" w:type="auto"/>
          <w:jc w:val="center"/>
          <w:tblInd w:w="0" w:type="dxa"/>
          <w:tblCellMar>
            <w:top w:w="0" w:type="dxa"/>
            <w:left w:w="108" w:type="dxa"/>
            <w:bottom w:w="0" w:type="dxa"/>
            <w:right w:w="108" w:type="dxa"/>
          </w:tblCellMar>
          <w:tblLook w:val="04A0"/>
        </w:tblPrEx>
        <w:trPr>
          <w:jc w:val="center"/>
        </w:trPr>
        <w:tc>
          <w:tcPr>
            <w:tcW w:w="2610" w:type="dxa"/>
            <w:tcBorders>
              <w:top w:val="nil"/>
              <w:left w:val="single" w:sz="4" w:space="0" w:color="auto"/>
              <w:bottom w:val="single" w:sz="4" w:space="0" w:color="auto"/>
              <w:right w:val="single" w:sz="4" w:space="0" w:color="auto"/>
            </w:tcBorders>
            <w:shd w:val="clear" w:color="auto" w:fill="auto"/>
            <w:vAlign w:val="bottom"/>
          </w:tcPr>
          <w:p w:rsidR="003B2A61" w:rsidRPr="001A4989" w:rsidP="003B2A61" w14:paraId="7A104689" w14:textId="77777777">
            <w:pPr>
              <w:spacing w:after="0" w:line="240" w:lineRule="auto"/>
              <w:rPr>
                <w:rStyle w:val="DefaultParagraphFont"/>
                <w:rFonts w:ascii="Times New Roman" w:hAnsi="Times New Roman" w:eastAsiaTheme="minorHAnsi" w:cstheme="minorBidi"/>
                <w:sz w:val="22"/>
                <w:szCs w:val="22"/>
                <w:lang w:val="en-US" w:eastAsia="en-US" w:bidi="ar-SA"/>
              </w:rPr>
            </w:pPr>
            <w:r w:rsidRPr="001A4989">
              <w:rPr>
                <w:rFonts w:ascii="Times New Roman" w:hAnsi="Times New Roman" w:eastAsiaTheme="minorHAnsi" w:cstheme="minorBidi"/>
                <w:color w:val="000000"/>
                <w:sz w:val="20"/>
                <w:szCs w:val="22"/>
                <w:lang w:val="en-US" w:eastAsia="en-US" w:bidi="ar-SA"/>
              </w:rPr>
              <w:t>Not applicable</w:t>
            </w:r>
          </w:p>
        </w:tc>
        <w:tc>
          <w:tcPr>
            <w:tcW w:w="1260" w:type="dxa"/>
            <w:tcBorders>
              <w:top w:val="nil"/>
              <w:left w:val="nil"/>
              <w:bottom w:val="single" w:sz="4" w:space="0" w:color="auto"/>
              <w:right w:val="single" w:sz="4" w:space="0" w:color="auto"/>
            </w:tcBorders>
            <w:shd w:val="clear" w:color="auto" w:fill="auto"/>
            <w:vAlign w:val="center"/>
          </w:tcPr>
          <w:p w:rsidR="003B2A61" w:rsidRPr="001A4989" w:rsidP="003B2A61" w14:paraId="5D6EDC7F" w14:textId="77777777">
            <w:pPr>
              <w:spacing w:after="0" w:line="240" w:lineRule="auto"/>
              <w:jc w:val="right"/>
              <w:rPr>
                <w:rStyle w:val="DefaultParagraphFont"/>
                <w:rFonts w:ascii="Times New Roman" w:hAnsi="Times New Roman" w:eastAsiaTheme="minorHAnsi" w:cstheme="minorBidi"/>
                <w:sz w:val="22"/>
                <w:szCs w:val="22"/>
                <w:lang w:val="en-US" w:eastAsia="en-US" w:bidi="ar-SA"/>
              </w:rPr>
            </w:pPr>
            <w:r w:rsidRPr="001A4989">
              <w:rPr>
                <w:rFonts w:ascii="Times New Roman" w:hAnsi="Times New Roman" w:eastAsiaTheme="minorHAnsi" w:cstheme="minorBidi"/>
                <w:color w:val="000000"/>
                <w:sz w:val="20"/>
                <w:szCs w:val="22"/>
                <w:lang w:val="en-US" w:eastAsia="en-US" w:bidi="ar-SA"/>
              </w:rPr>
              <w:t>108</w:t>
            </w:r>
          </w:p>
        </w:tc>
      </w:tr>
      <w:tr w14:paraId="5630A03A" w14:textId="77777777" w:rsidTr="0095742F">
        <w:tblPrEx>
          <w:tblW w:w="0" w:type="auto"/>
          <w:jc w:val="center"/>
          <w:tblInd w:w="0" w:type="dxa"/>
          <w:tblCellMar>
            <w:top w:w="0" w:type="dxa"/>
            <w:left w:w="108" w:type="dxa"/>
            <w:bottom w:w="0" w:type="dxa"/>
            <w:right w:w="108" w:type="dxa"/>
          </w:tblCellMar>
          <w:tblLook w:val="04A0"/>
        </w:tblPrEx>
        <w:trPr>
          <w:jc w:val="center"/>
        </w:trPr>
        <w:tc>
          <w:tcPr>
            <w:tcW w:w="2610" w:type="dxa"/>
            <w:tcBorders>
              <w:top w:val="nil"/>
              <w:left w:val="single" w:sz="4" w:space="0" w:color="auto"/>
              <w:bottom w:val="single" w:sz="4" w:space="0" w:color="auto"/>
              <w:right w:val="single" w:sz="4" w:space="0" w:color="auto"/>
            </w:tcBorders>
            <w:shd w:val="clear" w:color="auto" w:fill="auto"/>
            <w:vAlign w:val="bottom"/>
          </w:tcPr>
          <w:p w:rsidR="003B2A61" w:rsidRPr="001A4989" w:rsidP="003B2A61" w14:paraId="09D1BF6D" w14:textId="77777777">
            <w:pPr>
              <w:spacing w:after="0" w:line="240" w:lineRule="auto"/>
              <w:rPr>
                <w:rStyle w:val="DefaultParagraphFont"/>
                <w:rFonts w:ascii="Times New Roman" w:hAnsi="Times New Roman" w:eastAsiaTheme="minorHAnsi" w:cstheme="minorBidi"/>
                <w:b/>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Total</w:t>
            </w:r>
          </w:p>
        </w:tc>
        <w:tc>
          <w:tcPr>
            <w:tcW w:w="1260" w:type="dxa"/>
            <w:tcBorders>
              <w:top w:val="nil"/>
              <w:left w:val="nil"/>
              <w:bottom w:val="single" w:sz="4" w:space="0" w:color="auto"/>
              <w:right w:val="single" w:sz="4" w:space="0" w:color="auto"/>
            </w:tcBorders>
            <w:shd w:val="clear" w:color="auto" w:fill="auto"/>
            <w:vAlign w:val="bottom"/>
          </w:tcPr>
          <w:p w:rsidR="003B2A61" w:rsidRPr="001A4989" w:rsidP="003B2A61" w14:paraId="4EA9766A" w14:textId="77777777">
            <w:pPr>
              <w:spacing w:after="0" w:line="240" w:lineRule="auto"/>
              <w:jc w:val="right"/>
              <w:rPr>
                <w:rStyle w:val="DefaultParagraphFont"/>
                <w:rFonts w:ascii="Times New Roman" w:hAnsi="Times New Roman" w:eastAsiaTheme="minorHAnsi" w:cstheme="minorBidi"/>
                <w:b/>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188</w:t>
            </w:r>
          </w:p>
        </w:tc>
      </w:tr>
    </w:tbl>
    <w:p w:rsidR="00BC445F" w:rsidRPr="001A4989" w:rsidP="00D47B8B" w14:paraId="227FBFD1" w14:textId="1A34D8F1">
      <w:pPr>
        <w:pStyle w:val="Caption"/>
        <w:rPr>
          <w:rFonts w:ascii="Times New Roman" w:hAnsi="Times New Roman"/>
        </w:rPr>
      </w:pPr>
      <w:bookmarkStart w:id="22" w:name="_Toc505948368"/>
      <w:bookmarkStart w:id="23" w:name="_Toc513124077"/>
      <w:r w:rsidRPr="001A4989">
        <w:rPr>
          <w:rFonts w:ascii="Times New Roman" w:hAnsi="Times New Roman"/>
        </w:rPr>
        <w:t>Table</w:t>
      </w:r>
      <w:r w:rsidR="00A07138">
        <w:rPr>
          <w:rFonts w:ascii="Times New Roman" w:hAnsi="Times New Roman"/>
        </w:rPr>
        <w:t xml:space="preserve"> 6</w:t>
      </w:r>
      <w:r w:rsidR="003F0225">
        <w:rPr>
          <w:rFonts w:ascii="Times New Roman" w:hAnsi="Times New Roman"/>
        </w:rPr>
        <w:t>:</w:t>
      </w:r>
      <w:r w:rsidRPr="001A4989" w:rsidR="00B9314B">
        <w:rPr>
          <w:rFonts w:ascii="Times New Roman" w:hAnsi="Times New Roman"/>
        </w:rPr>
        <w:t xml:space="preserve"> </w:t>
      </w:r>
      <w:r w:rsidRPr="001A4989" w:rsidR="008607BD">
        <w:rPr>
          <w:rFonts w:ascii="Times New Roman" w:hAnsi="Times New Roman"/>
        </w:rPr>
        <w:t>Overall Certification - Diverse Monitoring Results</w:t>
      </w:r>
      <w:bookmarkEnd w:id="22"/>
      <w:bookmarkEnd w:id="23"/>
      <w:r w:rsidRPr="001A4989" w:rsidR="008607BD">
        <w:rPr>
          <w:rFonts w:ascii="Times New Roman" w:hAnsi="Times New Roman"/>
        </w:rPr>
        <w:t xml:space="preserve"> </w:t>
      </w:r>
    </w:p>
    <w:p w:rsidR="001B0825" w:rsidRPr="001A4989" w:rsidP="003B50CF" w14:paraId="19EE7A3D" w14:textId="2014C413">
      <w:pPr>
        <w:rPr>
          <w:rFonts w:ascii="Times New Roman" w:hAnsi="Times New Roman"/>
        </w:rPr>
      </w:pPr>
      <w:bookmarkStart w:id="24" w:name="_Hlk506983429"/>
      <w:r w:rsidRPr="001A4989">
        <w:rPr>
          <w:rFonts w:ascii="Times New Roman" w:hAnsi="Times New Roman"/>
        </w:rPr>
        <w:t xml:space="preserve">One hundred and </w:t>
      </w:r>
      <w:r w:rsidR="002D752F">
        <w:rPr>
          <w:rFonts w:ascii="Times New Roman" w:hAnsi="Times New Roman"/>
        </w:rPr>
        <w:t>twenty</w:t>
      </w:r>
      <w:r w:rsidRPr="001A4989" w:rsidR="002D752F">
        <w:rPr>
          <w:rFonts w:ascii="Times New Roman" w:hAnsi="Times New Roman"/>
        </w:rPr>
        <w:t xml:space="preserve"> </w:t>
      </w:r>
      <w:r w:rsidRPr="001A4989" w:rsidR="009E7D70">
        <w:rPr>
          <w:rFonts w:ascii="Times New Roman" w:hAnsi="Times New Roman"/>
        </w:rPr>
        <w:t>covered entities</w:t>
      </w:r>
      <w:r w:rsidRPr="001A4989">
        <w:rPr>
          <w:rFonts w:ascii="Times New Roman" w:hAnsi="Times New Roman"/>
        </w:rPr>
        <w:t xml:space="preserve"> </w:t>
      </w:r>
      <w:r w:rsidRPr="001A4989">
        <w:rPr>
          <w:rFonts w:ascii="Times New Roman" w:hAnsi="Times New Roman"/>
        </w:rPr>
        <w:t>selected</w:t>
      </w:r>
      <w:r w:rsidRPr="001A4989">
        <w:rPr>
          <w:rFonts w:ascii="Times New Roman" w:hAnsi="Times New Roman"/>
        </w:rPr>
        <w:t xml:space="preserve"> </w:t>
      </w:r>
      <w:r w:rsidRPr="001A4989" w:rsidR="00332C35">
        <w:rPr>
          <w:rFonts w:ascii="Times New Roman" w:hAnsi="Times New Roman"/>
        </w:rPr>
        <w:t>“</w:t>
      </w:r>
      <w:r w:rsidRPr="001A4989">
        <w:rPr>
          <w:rFonts w:ascii="Times New Roman" w:hAnsi="Times New Roman"/>
        </w:rPr>
        <w:t>No</w:t>
      </w:r>
      <w:r w:rsidRPr="001A4989" w:rsidR="00332C35">
        <w:rPr>
          <w:rFonts w:ascii="Times New Roman" w:hAnsi="Times New Roman"/>
        </w:rPr>
        <w:t>”</w:t>
      </w:r>
      <w:r w:rsidRPr="001A4989">
        <w:rPr>
          <w:rFonts w:ascii="Times New Roman" w:hAnsi="Times New Roman"/>
        </w:rPr>
        <w:t xml:space="preserve"> or </w:t>
      </w:r>
      <w:r w:rsidRPr="001A4989" w:rsidR="00332C35">
        <w:rPr>
          <w:rFonts w:ascii="Times New Roman" w:hAnsi="Times New Roman"/>
        </w:rPr>
        <w:t>“</w:t>
      </w:r>
      <w:r w:rsidRPr="001A4989">
        <w:rPr>
          <w:rFonts w:ascii="Times New Roman" w:hAnsi="Times New Roman"/>
        </w:rPr>
        <w:t>Not applicable</w:t>
      </w:r>
      <w:r w:rsidRPr="001A4989" w:rsidR="00332C35">
        <w:rPr>
          <w:rFonts w:ascii="Times New Roman" w:hAnsi="Times New Roman"/>
        </w:rPr>
        <w:t>”</w:t>
      </w:r>
      <w:r w:rsidRPr="001A4989">
        <w:rPr>
          <w:rFonts w:ascii="Times New Roman" w:hAnsi="Times New Roman"/>
        </w:rPr>
        <w:t xml:space="preserve"> </w:t>
      </w:r>
      <w:r w:rsidRPr="001A4989">
        <w:rPr>
          <w:rFonts w:ascii="Times New Roman" w:hAnsi="Times New Roman"/>
        </w:rPr>
        <w:t>for this requirement</w:t>
      </w:r>
      <w:r w:rsidRPr="001A4989" w:rsidR="002D2BAC">
        <w:rPr>
          <w:rFonts w:ascii="Times New Roman" w:hAnsi="Times New Roman"/>
        </w:rPr>
        <w:t xml:space="preserve"> </w:t>
      </w:r>
      <w:r w:rsidRPr="001A4989">
        <w:rPr>
          <w:rFonts w:ascii="Times New Roman" w:hAnsi="Times New Roman"/>
        </w:rPr>
        <w:t xml:space="preserve">because those </w:t>
      </w:r>
      <w:r w:rsidRPr="001A4989" w:rsidR="009E7D70">
        <w:rPr>
          <w:rFonts w:ascii="Times New Roman" w:hAnsi="Times New Roman"/>
        </w:rPr>
        <w:t>covered entities</w:t>
      </w:r>
      <w:r w:rsidRPr="001A4989">
        <w:rPr>
          <w:rFonts w:ascii="Times New Roman" w:hAnsi="Times New Roman"/>
        </w:rPr>
        <w:t xml:space="preserve"> do not operate selective routers or their service area is too small to </w:t>
      </w:r>
      <w:r w:rsidRPr="001A4989" w:rsidR="002D2BAC">
        <w:rPr>
          <w:rFonts w:ascii="Times New Roman" w:hAnsi="Times New Roman"/>
        </w:rPr>
        <w:t xml:space="preserve">require </w:t>
      </w:r>
      <w:r w:rsidRPr="001A4989">
        <w:rPr>
          <w:rFonts w:ascii="Times New Roman" w:hAnsi="Times New Roman"/>
        </w:rPr>
        <w:t xml:space="preserve">diverse </w:t>
      </w:r>
      <w:r w:rsidRPr="001A4989">
        <w:rPr>
          <w:rFonts w:ascii="Times New Roman" w:hAnsi="Times New Roman"/>
        </w:rPr>
        <w:t>network monitoring.</w:t>
      </w:r>
      <w:r>
        <w:rPr>
          <w:rStyle w:val="FootnoteReference"/>
          <w:rFonts w:ascii="Times New Roman" w:hAnsi="Times New Roman"/>
        </w:rPr>
        <w:footnoteReference w:id="34"/>
      </w:r>
    </w:p>
    <w:p w:rsidR="00AE1B46" w:rsidRPr="001A4989" w:rsidP="00AE1B46" w14:paraId="6CD42A4F" w14:textId="31CFF5BA">
      <w:pPr>
        <w:rPr>
          <w:rFonts w:ascii="Times New Roman" w:hAnsi="Times New Roman"/>
        </w:rPr>
      </w:pPr>
      <w:bookmarkEnd w:id="24"/>
      <w:r w:rsidRPr="001A4989">
        <w:rPr>
          <w:rFonts w:ascii="Times New Roman" w:hAnsi="Times New Roman"/>
        </w:rPr>
        <w:t xml:space="preserve">The </w:t>
      </w:r>
      <w:r w:rsidRPr="001A4989" w:rsidR="009E7D70">
        <w:rPr>
          <w:rFonts w:ascii="Times New Roman" w:hAnsi="Times New Roman"/>
        </w:rPr>
        <w:t>covered entities</w:t>
      </w:r>
      <w:r w:rsidRPr="001A4989">
        <w:rPr>
          <w:rFonts w:ascii="Times New Roman" w:hAnsi="Times New Roman"/>
        </w:rPr>
        <w:t xml:space="preserve"> that indicated they have diverse monitoring in all </w:t>
      </w:r>
      <w:r w:rsidR="00F72A08">
        <w:rPr>
          <w:rFonts w:ascii="Times New Roman" w:hAnsi="Times New Roman" w:cs="Times New Roman"/>
        </w:rPr>
        <w:t>1,084</w:t>
      </w:r>
      <w:r w:rsidRPr="001A4989" w:rsidR="00C328C9">
        <w:rPr>
          <w:rFonts w:ascii="Times New Roman" w:hAnsi="Times New Roman"/>
        </w:rPr>
        <w:t xml:space="preserve"> </w:t>
      </w:r>
      <w:r w:rsidRPr="001A4989">
        <w:rPr>
          <w:rFonts w:ascii="Times New Roman" w:hAnsi="Times New Roman"/>
        </w:rPr>
        <w:t>911 service areas</w:t>
      </w:r>
      <w:r w:rsidRPr="001A4989" w:rsidR="00AD0F35">
        <w:rPr>
          <w:rFonts w:ascii="Times New Roman" w:hAnsi="Times New Roman"/>
        </w:rPr>
        <w:t xml:space="preserve"> are shown in the table below</w:t>
      </w:r>
      <w:r w:rsidRPr="001A4989">
        <w:rPr>
          <w:rFonts w:ascii="Times New Roman" w:hAnsi="Times New Roman"/>
        </w:rPr>
        <w:t>:</w:t>
      </w:r>
    </w:p>
    <w:tbl>
      <w:tblPr>
        <w:tblW w:w="6360" w:type="dxa"/>
        <w:jc w:val="center"/>
        <w:tblInd w:w="0" w:type="dxa"/>
        <w:tblCellMar>
          <w:top w:w="0" w:type="dxa"/>
          <w:left w:w="108" w:type="dxa"/>
          <w:bottom w:w="0" w:type="dxa"/>
          <w:right w:w="108" w:type="dxa"/>
        </w:tblCellMar>
        <w:tblLook w:val="04A0"/>
      </w:tblPr>
      <w:tblGrid>
        <w:gridCol w:w="4400"/>
        <w:gridCol w:w="1960"/>
      </w:tblGrid>
      <w:tr w14:paraId="49E4157B" w14:textId="77777777" w:rsidTr="0038341B">
        <w:tblPrEx>
          <w:tblW w:w="6360" w:type="dxa"/>
          <w:jc w:val="center"/>
          <w:tblInd w:w="0" w:type="dxa"/>
          <w:tblCellMar>
            <w:top w:w="0" w:type="dxa"/>
            <w:left w:w="108" w:type="dxa"/>
            <w:bottom w:w="0" w:type="dxa"/>
            <w:right w:w="108" w:type="dxa"/>
          </w:tblCellMar>
          <w:tblLook w:val="04A0"/>
        </w:tblPrEx>
        <w:trPr>
          <w:trHeight w:val="900"/>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B46" w:rsidRPr="001A4989" w:rsidP="0038341B" w14:paraId="226802BA"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E1B46" w:rsidRPr="001A4989" w:rsidP="0038341B" w14:paraId="0B3D4DF3" w14:textId="77777777">
            <w:pPr>
              <w:spacing w:after="0" w:line="240" w:lineRule="auto"/>
              <w:jc w:val="center"/>
              <w:rPr>
                <w:rStyle w:val="DefaultParagraphFont"/>
                <w:rFonts w:ascii="Times New Roman" w:hAnsi="Times New Roman" w:eastAsiaTheme="minorHAnsi" w:cstheme="minorBidi"/>
                <w:b/>
                <w:color w:val="000000"/>
                <w:sz w:val="22"/>
                <w:szCs w:val="22"/>
                <w:lang w:val="en-US" w:eastAsia="en-US" w:bidi="ar-SA"/>
              </w:rPr>
            </w:pPr>
            <w:r w:rsidRPr="001A4989">
              <w:rPr>
                <w:rFonts w:ascii="Times New Roman" w:hAnsi="Times New Roman" w:eastAsiaTheme="minorHAnsi" w:cstheme="minorBidi"/>
                <w:b/>
                <w:color w:val="000000"/>
                <w:sz w:val="22"/>
                <w:szCs w:val="22"/>
                <w:lang w:val="en-US" w:eastAsia="en-US" w:bidi="ar-SA"/>
              </w:rPr>
              <w:t>Total 911 Service Areas with Diverse Monitoring</w:t>
            </w:r>
          </w:p>
        </w:tc>
      </w:tr>
      <w:tr w14:paraId="0E6A21ED" w14:textId="77777777" w:rsidTr="0038341B">
        <w:tblPrEx>
          <w:tblW w:w="6360" w:type="dxa"/>
          <w:jc w:val="center"/>
          <w:tblInd w:w="0" w:type="dxa"/>
          <w:tblCellMar>
            <w:top w:w="0" w:type="dxa"/>
            <w:left w:w="108" w:type="dxa"/>
            <w:bottom w:w="0" w:type="dxa"/>
            <w:right w:w="108" w:type="dxa"/>
          </w:tblCellMar>
          <w:tblLook w:val="04A0"/>
        </w:tblPrEx>
        <w:trPr>
          <w:trHeight w:val="30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E1B46" w:rsidRPr="00BB3492" w:rsidP="0038341B" w14:paraId="4E18DDFC"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1A4989">
              <w:rPr>
                <w:rFonts w:ascii="Times New Roman" w:hAnsi="Times New Roman" w:eastAsiaTheme="minorHAnsi" w:cstheme="minorBidi"/>
                <w:color w:val="000000"/>
                <w:sz w:val="22"/>
                <w:szCs w:val="22"/>
                <w:lang w:val="en-US" w:eastAsia="en-US" w:bidi="ar-SA"/>
              </w:rPr>
              <w:t xml:space="preserve">Companies with 10 or more 911 </w:t>
            </w:r>
            <w:r w:rsidRPr="00646994" w:rsidR="00952C7F">
              <w:rPr>
                <w:rFonts w:ascii="Times New Roman" w:eastAsia="Times New Roman" w:hAnsi="Times New Roman" w:cs="Times New Roman"/>
                <w:color w:val="000000"/>
                <w:sz w:val="22"/>
                <w:szCs w:val="22"/>
                <w:lang w:val="en-US" w:eastAsia="en-US" w:bidi="ar-SA"/>
              </w:rPr>
              <w:t>s</w:t>
            </w:r>
            <w:r w:rsidRPr="00646994">
              <w:rPr>
                <w:rFonts w:ascii="Times New Roman" w:eastAsia="Times New Roman" w:hAnsi="Times New Roman" w:cs="Times New Roman"/>
                <w:color w:val="000000"/>
                <w:sz w:val="22"/>
                <w:szCs w:val="22"/>
                <w:lang w:val="en-US" w:eastAsia="en-US" w:bidi="ar-SA"/>
              </w:rPr>
              <w:t xml:space="preserve">ervice </w:t>
            </w:r>
            <w:r w:rsidRPr="00646994" w:rsidR="00952C7F">
              <w:rPr>
                <w:rFonts w:ascii="Times New Roman" w:eastAsia="Times New Roman" w:hAnsi="Times New Roman" w:cs="Times New Roman"/>
                <w:color w:val="000000"/>
                <w:sz w:val="22"/>
                <w:szCs w:val="22"/>
                <w:lang w:val="en-US" w:eastAsia="en-US" w:bidi="ar-SA"/>
              </w:rPr>
              <w:t>a</w:t>
            </w:r>
            <w:r w:rsidRPr="00646994">
              <w:rPr>
                <w:rFonts w:ascii="Times New Roman" w:eastAsia="Times New Roman" w:hAnsi="Times New Roman" w:cs="Times New Roman"/>
                <w:color w:val="000000"/>
                <w:sz w:val="22"/>
                <w:szCs w:val="22"/>
                <w:lang w:val="en-US" w:eastAsia="en-US" w:bidi="ar-SA"/>
              </w:rPr>
              <w:t>reas</w:t>
            </w:r>
          </w:p>
        </w:tc>
        <w:tc>
          <w:tcPr>
            <w:tcW w:w="1960" w:type="dxa"/>
            <w:tcBorders>
              <w:top w:val="nil"/>
              <w:left w:val="nil"/>
              <w:bottom w:val="single" w:sz="4" w:space="0" w:color="auto"/>
              <w:right w:val="single" w:sz="4" w:space="0" w:color="auto"/>
            </w:tcBorders>
            <w:shd w:val="clear" w:color="auto" w:fill="auto"/>
            <w:noWrap/>
            <w:vAlign w:val="bottom"/>
            <w:hideMark/>
          </w:tcPr>
          <w:p w:rsidR="00AE1B46" w:rsidRPr="00BB3492" w:rsidP="0038341B" w14:paraId="2B08DF45"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BB3492">
              <w:rPr>
                <w:rFonts w:ascii="Times New Roman" w:hAnsi="Times New Roman" w:eastAsiaTheme="minorHAnsi" w:cstheme="minorBidi"/>
                <w:color w:val="000000"/>
                <w:sz w:val="22"/>
                <w:szCs w:val="22"/>
                <w:lang w:val="en-US" w:eastAsia="en-US" w:bidi="ar-SA"/>
              </w:rPr>
              <w:t>897</w:t>
            </w:r>
          </w:p>
        </w:tc>
      </w:tr>
      <w:tr w14:paraId="277A4E78" w14:textId="77777777" w:rsidTr="0038341B">
        <w:tblPrEx>
          <w:tblW w:w="6360" w:type="dxa"/>
          <w:jc w:val="center"/>
          <w:tblInd w:w="0" w:type="dxa"/>
          <w:tblCellMar>
            <w:top w:w="0" w:type="dxa"/>
            <w:left w:w="108" w:type="dxa"/>
            <w:bottom w:w="0" w:type="dxa"/>
            <w:right w:w="108" w:type="dxa"/>
          </w:tblCellMar>
          <w:tblLook w:val="04A0"/>
        </w:tblPrEx>
        <w:trPr>
          <w:trHeight w:val="30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E1B46" w:rsidRPr="00BB3492" w:rsidP="0038341B" w14:paraId="18A43BFE" w14:textId="77777777">
            <w:pPr>
              <w:spacing w:after="0" w:line="240" w:lineRule="auto"/>
              <w:rPr>
                <w:rStyle w:val="DefaultParagraphFont"/>
                <w:rFonts w:ascii="Times New Roman" w:hAnsi="Times New Roman" w:eastAsiaTheme="minorHAnsi" w:cstheme="minorBidi"/>
                <w:color w:val="000000"/>
                <w:sz w:val="22"/>
                <w:szCs w:val="22"/>
                <w:lang w:val="en-US" w:eastAsia="en-US" w:bidi="ar-SA"/>
              </w:rPr>
            </w:pPr>
            <w:r w:rsidRPr="00BB3492">
              <w:rPr>
                <w:rFonts w:ascii="Times New Roman" w:hAnsi="Times New Roman" w:eastAsiaTheme="minorHAnsi" w:cstheme="minorBidi"/>
                <w:color w:val="000000"/>
                <w:sz w:val="22"/>
                <w:szCs w:val="22"/>
                <w:lang w:val="en-US" w:eastAsia="en-US" w:bidi="ar-SA"/>
              </w:rPr>
              <w:t xml:space="preserve">Companies with fewer than 10 911 </w:t>
            </w:r>
            <w:r w:rsidRPr="00646994" w:rsidR="00952C7F">
              <w:rPr>
                <w:rFonts w:ascii="Times New Roman" w:eastAsia="Times New Roman" w:hAnsi="Times New Roman" w:cs="Times New Roman"/>
                <w:color w:val="000000"/>
                <w:sz w:val="22"/>
                <w:szCs w:val="22"/>
                <w:lang w:val="en-US" w:eastAsia="en-US" w:bidi="ar-SA"/>
              </w:rPr>
              <w:t>s</w:t>
            </w:r>
            <w:r w:rsidRPr="00646994">
              <w:rPr>
                <w:rFonts w:ascii="Times New Roman" w:eastAsia="Times New Roman" w:hAnsi="Times New Roman" w:cs="Times New Roman"/>
                <w:color w:val="000000"/>
                <w:sz w:val="22"/>
                <w:szCs w:val="22"/>
                <w:lang w:val="en-US" w:eastAsia="en-US" w:bidi="ar-SA"/>
              </w:rPr>
              <w:t xml:space="preserve">ervice </w:t>
            </w:r>
            <w:r w:rsidRPr="00646994" w:rsidR="00952C7F">
              <w:rPr>
                <w:rFonts w:ascii="Times New Roman" w:eastAsia="Times New Roman" w:hAnsi="Times New Roman" w:cs="Times New Roman"/>
                <w:color w:val="000000"/>
                <w:sz w:val="22"/>
                <w:szCs w:val="22"/>
                <w:lang w:val="en-US" w:eastAsia="en-US" w:bidi="ar-SA"/>
              </w:rPr>
              <w:t>a</w:t>
            </w:r>
            <w:r w:rsidRPr="00646994">
              <w:rPr>
                <w:rFonts w:ascii="Times New Roman" w:eastAsia="Times New Roman" w:hAnsi="Times New Roman" w:cs="Times New Roman"/>
                <w:color w:val="000000"/>
                <w:sz w:val="22"/>
                <w:szCs w:val="22"/>
                <w:lang w:val="en-US" w:eastAsia="en-US" w:bidi="ar-SA"/>
              </w:rPr>
              <w:t>reas</w:t>
            </w:r>
          </w:p>
        </w:tc>
        <w:tc>
          <w:tcPr>
            <w:tcW w:w="1960" w:type="dxa"/>
            <w:tcBorders>
              <w:top w:val="nil"/>
              <w:left w:val="nil"/>
              <w:bottom w:val="single" w:sz="4" w:space="0" w:color="auto"/>
              <w:right w:val="single" w:sz="4" w:space="0" w:color="auto"/>
            </w:tcBorders>
            <w:shd w:val="clear" w:color="auto" w:fill="auto"/>
            <w:noWrap/>
            <w:vAlign w:val="bottom"/>
            <w:hideMark/>
          </w:tcPr>
          <w:p w:rsidR="00AE1B46" w:rsidRPr="00BB3492" w:rsidP="0038341B" w14:paraId="6F9E5045" w14:textId="77777777">
            <w:pPr>
              <w:spacing w:after="0" w:line="240" w:lineRule="auto"/>
              <w:jc w:val="right"/>
              <w:rPr>
                <w:rStyle w:val="DefaultParagraphFont"/>
                <w:rFonts w:ascii="Times New Roman" w:hAnsi="Times New Roman" w:eastAsiaTheme="minorHAnsi" w:cstheme="minorBidi"/>
                <w:color w:val="000000"/>
                <w:sz w:val="22"/>
                <w:szCs w:val="22"/>
                <w:lang w:val="en-US" w:eastAsia="en-US" w:bidi="ar-SA"/>
              </w:rPr>
            </w:pPr>
            <w:r w:rsidRPr="00BB3492">
              <w:rPr>
                <w:rFonts w:ascii="Times New Roman" w:hAnsi="Times New Roman" w:eastAsiaTheme="minorHAnsi" w:cstheme="minorBidi"/>
                <w:color w:val="000000"/>
                <w:sz w:val="22"/>
                <w:szCs w:val="22"/>
                <w:lang w:val="en-US" w:eastAsia="en-US" w:bidi="ar-SA"/>
              </w:rPr>
              <w:t>187</w:t>
            </w:r>
          </w:p>
        </w:tc>
      </w:tr>
    </w:tbl>
    <w:p w:rsidR="00AE1B46" w:rsidRPr="00BB3492" w:rsidP="00AE1B46" w14:paraId="1A211E8C" w14:textId="7F97BAEE">
      <w:pPr>
        <w:pStyle w:val="Caption"/>
        <w:rPr>
          <w:rFonts w:ascii="Times New Roman" w:hAnsi="Times New Roman"/>
        </w:rPr>
      </w:pPr>
      <w:bookmarkStart w:id="25" w:name="_Toc505948369"/>
      <w:bookmarkStart w:id="26" w:name="_Toc513124078"/>
      <w:r w:rsidRPr="00BB3492">
        <w:rPr>
          <w:rFonts w:ascii="Times New Roman" w:hAnsi="Times New Roman"/>
        </w:rPr>
        <w:t xml:space="preserve">Table </w:t>
      </w:r>
      <w:r w:rsidR="00A07138">
        <w:rPr>
          <w:rFonts w:ascii="Times New Roman" w:hAnsi="Times New Roman"/>
        </w:rPr>
        <w:t>7</w:t>
      </w:r>
      <w:r w:rsidRPr="00BB3492">
        <w:rPr>
          <w:rFonts w:ascii="Times New Roman" w:hAnsi="Times New Roman"/>
        </w:rPr>
        <w:t>: Number of 911 Service Areas with Certified Diverse Monitoring</w:t>
      </w:r>
      <w:bookmarkEnd w:id="25"/>
      <w:bookmarkEnd w:id="26"/>
      <w:r w:rsidRPr="00BB3492">
        <w:rPr>
          <w:rFonts w:ascii="Times New Roman" w:hAnsi="Times New Roman"/>
        </w:rPr>
        <w:t xml:space="preserve"> </w:t>
      </w:r>
    </w:p>
    <w:p w:rsidR="00AE1B46" w:rsidRPr="00BB3492" w:rsidP="00AE1B46" w14:paraId="039DA93E" w14:textId="77777777">
      <w:pPr>
        <w:rPr>
          <w:rFonts w:ascii="Times New Roman" w:hAnsi="Times New Roman"/>
        </w:rPr>
      </w:pPr>
      <w:r w:rsidRPr="00BB3492">
        <w:rPr>
          <w:rFonts w:ascii="Times New Roman" w:hAnsi="Times New Roman"/>
        </w:rPr>
        <w:t xml:space="preserve">A covered entity that cannot certify that it has diverse monitoring must certify with respect to each such 911 </w:t>
      </w:r>
      <w:r w:rsidRPr="00646994" w:rsidR="00952C7F">
        <w:rPr>
          <w:rFonts w:ascii="Times New Roman" w:hAnsi="Times New Roman" w:cs="Times New Roman"/>
        </w:rPr>
        <w:t>s</w:t>
      </w:r>
      <w:r w:rsidRPr="00646994">
        <w:rPr>
          <w:rFonts w:ascii="Times New Roman" w:hAnsi="Times New Roman" w:cs="Times New Roman"/>
        </w:rPr>
        <w:t xml:space="preserve">ervice </w:t>
      </w:r>
      <w:r w:rsidRPr="00646994" w:rsidR="00952C7F">
        <w:rPr>
          <w:rFonts w:ascii="Times New Roman" w:hAnsi="Times New Roman" w:cs="Times New Roman"/>
        </w:rPr>
        <w:t>a</w:t>
      </w:r>
      <w:r w:rsidRPr="00646994">
        <w:rPr>
          <w:rFonts w:ascii="Times New Roman" w:hAnsi="Times New Roman" w:cs="Times New Roman"/>
        </w:rPr>
        <w:t xml:space="preserve">rea </w:t>
      </w:r>
      <w:r w:rsidRPr="00BB3492" w:rsidR="00E94AB6">
        <w:rPr>
          <w:rFonts w:ascii="Times New Roman" w:hAnsi="Times New Roman"/>
        </w:rPr>
        <w:t xml:space="preserve">whether </w:t>
      </w:r>
      <w:r w:rsidRPr="00BB3492">
        <w:rPr>
          <w:rFonts w:ascii="Times New Roman" w:hAnsi="Times New Roman"/>
        </w:rPr>
        <w:t>it has taken alternative measures</w:t>
      </w:r>
      <w:r w:rsidRPr="00BB3492" w:rsidR="00C97710">
        <w:rPr>
          <w:rFonts w:ascii="Times New Roman" w:hAnsi="Times New Roman"/>
        </w:rPr>
        <w:t>.</w:t>
      </w:r>
      <w:r>
        <w:rPr>
          <w:rStyle w:val="FootnoteReference"/>
          <w:rFonts w:ascii="Times New Roman" w:hAnsi="Times New Roman"/>
        </w:rPr>
        <w:footnoteReference w:id="35"/>
      </w:r>
      <w:r w:rsidRPr="00BB3492">
        <w:rPr>
          <w:rFonts w:ascii="Times New Roman" w:hAnsi="Times New Roman"/>
        </w:rPr>
        <w:t xml:space="preserve">  </w:t>
      </w:r>
      <w:r w:rsidRPr="00BB3492" w:rsidR="00AD0F35">
        <w:rPr>
          <w:rFonts w:ascii="Times New Roman" w:hAnsi="Times New Roman"/>
        </w:rPr>
        <w:t>Nineteen</w:t>
      </w:r>
      <w:r w:rsidRPr="00BB3492">
        <w:rPr>
          <w:rFonts w:ascii="Times New Roman" w:hAnsi="Times New Roman"/>
        </w:rPr>
        <w:t xml:space="preserve"> </w:t>
      </w:r>
      <w:r w:rsidRPr="00BB3492" w:rsidR="009E7D70">
        <w:rPr>
          <w:rFonts w:ascii="Times New Roman" w:hAnsi="Times New Roman"/>
        </w:rPr>
        <w:t>covered entities</w:t>
      </w:r>
      <w:r w:rsidRPr="00BB3492" w:rsidR="00A33ED1">
        <w:rPr>
          <w:rFonts w:ascii="Times New Roman" w:hAnsi="Times New Roman"/>
        </w:rPr>
        <w:t xml:space="preserve"> </w:t>
      </w:r>
      <w:r w:rsidRPr="00BB3492">
        <w:rPr>
          <w:rFonts w:ascii="Times New Roman" w:hAnsi="Times New Roman"/>
        </w:rPr>
        <w:t>stated that they have implemented alternative measures for diverse monitoring.</w:t>
      </w:r>
      <w:r>
        <w:rPr>
          <w:rStyle w:val="FootnoteReference"/>
          <w:rFonts w:ascii="Times New Roman" w:hAnsi="Times New Roman"/>
        </w:rPr>
        <w:footnoteReference w:id="36"/>
      </w:r>
      <w:r w:rsidRPr="00BB3492">
        <w:rPr>
          <w:rFonts w:ascii="Times New Roman" w:hAnsi="Times New Roman"/>
        </w:rPr>
        <w:t xml:space="preserve">  Some alternative measures include:</w:t>
      </w:r>
    </w:p>
    <w:p w:rsidR="00AE1B46" w:rsidP="00AE1B46" w14:paraId="527274D5" w14:textId="77777777">
      <w:pPr>
        <w:pStyle w:val="ListParagraph"/>
        <w:numPr>
          <w:ilvl w:val="0"/>
          <w:numId w:val="9"/>
        </w:numPr>
        <w:rPr>
          <w:rFonts w:ascii="Times New Roman" w:hAnsi="Times New Roman"/>
        </w:rPr>
      </w:pPr>
      <w:bookmarkStart w:id="27" w:name="_Hlk506983559"/>
      <w:r>
        <w:rPr>
          <w:rFonts w:ascii="Times New Roman" w:hAnsi="Times New Roman"/>
        </w:rPr>
        <w:t xml:space="preserve">Installing a new, updated </w:t>
      </w:r>
      <w:r w:rsidRPr="00BB3492">
        <w:rPr>
          <w:rFonts w:ascii="Times New Roman" w:hAnsi="Times New Roman"/>
        </w:rPr>
        <w:t>network monitoring system</w:t>
      </w:r>
      <w:r>
        <w:rPr>
          <w:rFonts w:ascii="Times New Roman" w:hAnsi="Times New Roman"/>
        </w:rPr>
        <w:t xml:space="preserve"> or </w:t>
      </w:r>
      <w:r w:rsidRPr="00BB3492">
        <w:rPr>
          <w:rFonts w:ascii="Times New Roman" w:hAnsi="Times New Roman"/>
        </w:rPr>
        <w:t>migra</w:t>
      </w:r>
      <w:r>
        <w:rPr>
          <w:rFonts w:ascii="Times New Roman" w:hAnsi="Times New Roman"/>
        </w:rPr>
        <w:t xml:space="preserve">ting </w:t>
      </w:r>
      <w:r w:rsidRPr="00BB3492">
        <w:rPr>
          <w:rFonts w:ascii="Times New Roman" w:hAnsi="Times New Roman"/>
        </w:rPr>
        <w:t>to</w:t>
      </w:r>
      <w:r>
        <w:rPr>
          <w:rFonts w:ascii="Times New Roman" w:hAnsi="Times New Roman"/>
        </w:rPr>
        <w:t xml:space="preserve"> a next generation network monitoring system;</w:t>
      </w:r>
      <w:r w:rsidRPr="00BB3492">
        <w:rPr>
          <w:rFonts w:ascii="Times New Roman" w:hAnsi="Times New Roman"/>
        </w:rPr>
        <w:t xml:space="preserve"> </w:t>
      </w:r>
    </w:p>
    <w:p w:rsidR="000506C7" w:rsidRPr="00BB3492" w:rsidP="000506C7" w14:paraId="0BF8E9E5" w14:textId="77777777">
      <w:pPr>
        <w:pStyle w:val="ListParagraph"/>
        <w:ind w:left="765"/>
        <w:rPr>
          <w:rFonts w:ascii="Times New Roman" w:hAnsi="Times New Roman"/>
        </w:rPr>
      </w:pPr>
    </w:p>
    <w:p w:rsidR="000506C7" w:rsidRPr="00A72594" w:rsidP="00F65780" w14:paraId="6731B9D9" w14:textId="77777777">
      <w:pPr>
        <w:pStyle w:val="ListParagraph"/>
        <w:numPr>
          <w:ilvl w:val="0"/>
          <w:numId w:val="9"/>
        </w:numPr>
        <w:rPr>
          <w:rFonts w:ascii="Times New Roman" w:hAnsi="Times New Roman"/>
        </w:rPr>
      </w:pPr>
      <w:r>
        <w:rPr>
          <w:rFonts w:ascii="Times New Roman" w:hAnsi="Times New Roman"/>
        </w:rPr>
        <w:t xml:space="preserve">Updating network monitoring </w:t>
      </w:r>
      <w:r w:rsidRPr="00A72594">
        <w:rPr>
          <w:rFonts w:ascii="Times New Roman" w:hAnsi="Times New Roman"/>
        </w:rPr>
        <w:t>equipment</w:t>
      </w:r>
      <w:r>
        <w:rPr>
          <w:rFonts w:ascii="Times New Roman" w:hAnsi="Times New Roman"/>
        </w:rPr>
        <w:t>, such as circuits and nodes, to incorporate redundancy and transition to a diverse environment;</w:t>
      </w:r>
    </w:p>
    <w:p w:rsidR="000506C7" w:rsidRPr="00BB3492" w:rsidP="000506C7" w14:paraId="79B3BADB" w14:textId="77777777">
      <w:pPr>
        <w:pStyle w:val="ListParagraph"/>
        <w:ind w:left="765"/>
        <w:rPr>
          <w:rFonts w:ascii="Times New Roman" w:hAnsi="Times New Roman"/>
        </w:rPr>
      </w:pPr>
    </w:p>
    <w:p w:rsidR="00AE1B46" w:rsidP="00AE1B46" w14:paraId="7F145B84" w14:textId="77777777">
      <w:pPr>
        <w:pStyle w:val="ListParagraph"/>
        <w:numPr>
          <w:ilvl w:val="0"/>
          <w:numId w:val="9"/>
        </w:numPr>
        <w:rPr>
          <w:rFonts w:ascii="Times New Roman" w:hAnsi="Times New Roman"/>
        </w:rPr>
      </w:pPr>
      <w:r>
        <w:rPr>
          <w:rFonts w:ascii="Times New Roman" w:hAnsi="Times New Roman"/>
        </w:rPr>
        <w:t>Moving circuits to additional paths to optimize network efficiency and increase</w:t>
      </w:r>
      <w:r w:rsidRPr="00BB3492">
        <w:rPr>
          <w:rFonts w:ascii="Times New Roman" w:hAnsi="Times New Roman"/>
        </w:rPr>
        <w:t xml:space="preserve"> diversity</w:t>
      </w:r>
      <w:r w:rsidR="00BB4ABD">
        <w:rPr>
          <w:rFonts w:ascii="Times New Roman" w:hAnsi="Times New Roman"/>
        </w:rPr>
        <w:t>;</w:t>
      </w:r>
    </w:p>
    <w:p w:rsidR="000506C7" w:rsidRPr="00BB3492" w:rsidP="000506C7" w14:paraId="4B07CFD0" w14:textId="77777777">
      <w:pPr>
        <w:pStyle w:val="ListParagraph"/>
        <w:ind w:left="765"/>
        <w:rPr>
          <w:rFonts w:ascii="Times New Roman" w:hAnsi="Times New Roman"/>
        </w:rPr>
      </w:pPr>
    </w:p>
    <w:p w:rsidR="00AE1B46" w:rsidRPr="00BB3492" w:rsidP="00AE1B46" w14:paraId="05BC37F5" w14:textId="77777777">
      <w:pPr>
        <w:pStyle w:val="ListParagraph"/>
        <w:numPr>
          <w:ilvl w:val="0"/>
          <w:numId w:val="9"/>
        </w:numPr>
        <w:rPr>
          <w:rFonts w:ascii="Times New Roman" w:hAnsi="Times New Roman"/>
        </w:rPr>
      </w:pPr>
      <w:r w:rsidRPr="00BB3492">
        <w:rPr>
          <w:rFonts w:ascii="Times New Roman" w:hAnsi="Times New Roman"/>
        </w:rPr>
        <w:t xml:space="preserve">Implementing </w:t>
      </w:r>
      <w:r w:rsidR="00177399">
        <w:rPr>
          <w:rFonts w:ascii="Times New Roman" w:hAnsi="Times New Roman"/>
        </w:rPr>
        <w:t xml:space="preserve">a </w:t>
      </w:r>
      <w:r w:rsidRPr="00BB3492">
        <w:rPr>
          <w:rFonts w:ascii="Times New Roman" w:hAnsi="Times New Roman"/>
        </w:rPr>
        <w:t xml:space="preserve">satellite solution </w:t>
      </w:r>
      <w:r w:rsidR="00177399">
        <w:rPr>
          <w:rFonts w:ascii="Times New Roman" w:hAnsi="Times New Roman"/>
        </w:rPr>
        <w:t xml:space="preserve">as a backup route should </w:t>
      </w:r>
      <w:r w:rsidR="00A9207F">
        <w:rPr>
          <w:rFonts w:ascii="Times New Roman" w:hAnsi="Times New Roman"/>
        </w:rPr>
        <w:t>the main</w:t>
      </w:r>
      <w:r w:rsidR="00177399">
        <w:rPr>
          <w:rFonts w:ascii="Times New Roman" w:hAnsi="Times New Roman"/>
        </w:rPr>
        <w:t xml:space="preserve"> circuits fail</w:t>
      </w:r>
      <w:r w:rsidR="00BB4ABD">
        <w:rPr>
          <w:rFonts w:ascii="Times New Roman" w:hAnsi="Times New Roman"/>
        </w:rPr>
        <w:t>; and</w:t>
      </w:r>
    </w:p>
    <w:p w:rsidR="000506C7" w:rsidP="000506C7" w14:paraId="20BB59DE" w14:textId="77777777">
      <w:pPr>
        <w:pStyle w:val="ListParagraph"/>
        <w:ind w:left="765"/>
        <w:rPr>
          <w:rFonts w:ascii="Times New Roman" w:hAnsi="Times New Roman"/>
        </w:rPr>
      </w:pPr>
    </w:p>
    <w:p w:rsidR="00AE1B46" w:rsidRPr="00BB3492" w:rsidP="00AE1B46" w14:paraId="4E736566" w14:textId="77777777">
      <w:pPr>
        <w:pStyle w:val="ListParagraph"/>
        <w:numPr>
          <w:ilvl w:val="0"/>
          <w:numId w:val="9"/>
        </w:numPr>
        <w:rPr>
          <w:rFonts w:ascii="Times New Roman" w:hAnsi="Times New Roman"/>
        </w:rPr>
      </w:pPr>
      <w:r w:rsidRPr="00BB3492">
        <w:rPr>
          <w:rFonts w:ascii="Times New Roman" w:hAnsi="Times New Roman"/>
        </w:rPr>
        <w:t xml:space="preserve">Adding redundant </w:t>
      </w:r>
      <w:r w:rsidR="00177399">
        <w:rPr>
          <w:rFonts w:ascii="Times New Roman" w:hAnsi="Times New Roman"/>
        </w:rPr>
        <w:t>physical (</w:t>
      </w:r>
      <w:r w:rsidRPr="00E64223" w:rsidR="00177399">
        <w:rPr>
          <w:rFonts w:ascii="Times New Roman" w:hAnsi="Times New Roman"/>
          <w:i/>
        </w:rPr>
        <w:t>e.g.</w:t>
      </w:r>
      <w:r w:rsidR="00177399">
        <w:rPr>
          <w:rFonts w:ascii="Times New Roman" w:hAnsi="Times New Roman"/>
        </w:rPr>
        <w:t xml:space="preserve">, different cable entrance) or virtual </w:t>
      </w:r>
      <w:r w:rsidRPr="00BB3492">
        <w:rPr>
          <w:rFonts w:ascii="Times New Roman" w:hAnsi="Times New Roman"/>
        </w:rPr>
        <w:t xml:space="preserve">access </w:t>
      </w:r>
      <w:r w:rsidR="00177399">
        <w:rPr>
          <w:rFonts w:ascii="Times New Roman" w:hAnsi="Times New Roman"/>
        </w:rPr>
        <w:t>(</w:t>
      </w:r>
      <w:r w:rsidRPr="00E64223" w:rsidR="00177399">
        <w:rPr>
          <w:rFonts w:ascii="Times New Roman" w:hAnsi="Times New Roman"/>
          <w:i/>
        </w:rPr>
        <w:t>e.g</w:t>
      </w:r>
      <w:r w:rsidRPr="00E64223" w:rsidR="009957C6">
        <w:rPr>
          <w:rFonts w:ascii="Times New Roman" w:hAnsi="Times New Roman"/>
          <w:i/>
        </w:rPr>
        <w:t>.</w:t>
      </w:r>
      <w:r w:rsidR="00177399">
        <w:rPr>
          <w:rFonts w:ascii="Times New Roman" w:hAnsi="Times New Roman"/>
        </w:rPr>
        <w:t xml:space="preserve">, different portal) </w:t>
      </w:r>
      <w:r w:rsidRPr="00BB3492">
        <w:rPr>
          <w:rFonts w:ascii="Times New Roman" w:hAnsi="Times New Roman"/>
        </w:rPr>
        <w:t xml:space="preserve">to the </w:t>
      </w:r>
      <w:r w:rsidR="00177399">
        <w:rPr>
          <w:rFonts w:ascii="Times New Roman" w:hAnsi="Times New Roman"/>
        </w:rPr>
        <w:t>network monitoring system</w:t>
      </w:r>
      <w:r w:rsidR="00A9207F">
        <w:rPr>
          <w:rFonts w:ascii="Times New Roman" w:hAnsi="Times New Roman"/>
        </w:rPr>
        <w:t>.</w:t>
      </w:r>
    </w:p>
    <w:p w:rsidR="004211D0" w:rsidRPr="00355D1F" w:rsidP="00EA44CC" w14:paraId="4A4ABF93" w14:textId="77777777">
      <w:pPr>
        <w:pStyle w:val="Heading1"/>
        <w:rPr>
          <w:rFonts w:ascii="Times New Roman" w:hAnsi="Times New Roman" w:cs="Times New Roman"/>
        </w:rPr>
      </w:pPr>
      <w:bookmarkStart w:id="28" w:name="_Toc513123981"/>
      <w:bookmarkEnd w:id="27"/>
      <w:r w:rsidRPr="00355D1F">
        <w:rPr>
          <w:rFonts w:ascii="Times New Roman" w:hAnsi="Times New Roman" w:cs="Times New Roman"/>
        </w:rPr>
        <w:t>Conclusion</w:t>
      </w:r>
      <w:bookmarkEnd w:id="28"/>
    </w:p>
    <w:p w:rsidR="00296D1D" w:rsidRPr="00BB3492" w:rsidP="002561EE" w14:paraId="30A43EEC" w14:textId="224D33A7">
      <w:pPr>
        <w:rPr>
          <w:rFonts w:ascii="Times New Roman" w:hAnsi="Times New Roman"/>
          <w:b/>
        </w:rPr>
      </w:pPr>
      <w:r w:rsidRPr="00355D1F">
        <w:rPr>
          <w:rFonts w:ascii="Times New Roman" w:hAnsi="Times New Roman" w:cs="Times New Roman"/>
        </w:rPr>
        <w:t>As described above,</w:t>
      </w:r>
      <w:r w:rsidRPr="00355D1F">
        <w:rPr>
          <w:rFonts w:ascii="Times New Roman" w:hAnsi="Times New Roman" w:cs="Times New Roman"/>
        </w:rPr>
        <w:t xml:space="preserve"> 188 covered </w:t>
      </w:r>
      <w:r w:rsidRPr="00355D1F">
        <w:rPr>
          <w:rFonts w:ascii="Times New Roman" w:hAnsi="Times New Roman" w:cs="Times New Roman"/>
        </w:rPr>
        <w:t>providers</w:t>
      </w:r>
      <w:r w:rsidRPr="00355D1F">
        <w:rPr>
          <w:rFonts w:ascii="Times New Roman" w:hAnsi="Times New Roman" w:cs="Times New Roman"/>
        </w:rPr>
        <w:t xml:space="preserve"> filed the required certifications to demonstrate </w:t>
      </w:r>
      <w:r w:rsidR="0065349B">
        <w:rPr>
          <w:rFonts w:ascii="Times New Roman" w:hAnsi="Times New Roman" w:cs="Times New Roman"/>
        </w:rPr>
        <w:t xml:space="preserve">steps they </w:t>
      </w:r>
      <w:r w:rsidR="00DB4F7C">
        <w:rPr>
          <w:rFonts w:ascii="Times New Roman" w:hAnsi="Times New Roman" w:cs="Times New Roman"/>
        </w:rPr>
        <w:t xml:space="preserve">have </w:t>
      </w:r>
      <w:r w:rsidR="0065349B">
        <w:rPr>
          <w:rFonts w:ascii="Times New Roman" w:hAnsi="Times New Roman" w:cs="Times New Roman"/>
        </w:rPr>
        <w:t>take</w:t>
      </w:r>
      <w:r w:rsidR="00DB4F7C">
        <w:rPr>
          <w:rFonts w:ascii="Times New Roman" w:hAnsi="Times New Roman" w:cs="Times New Roman"/>
        </w:rPr>
        <w:t>n</w:t>
      </w:r>
      <w:r w:rsidR="0065349B">
        <w:rPr>
          <w:rFonts w:ascii="Times New Roman" w:hAnsi="Times New Roman" w:cs="Times New Roman"/>
        </w:rPr>
        <w:t xml:space="preserve"> to </w:t>
      </w:r>
      <w:r w:rsidRPr="00355D1F" w:rsidR="000310B2">
        <w:rPr>
          <w:rFonts w:ascii="Times New Roman" w:hAnsi="Times New Roman" w:cs="Times New Roman"/>
          <w:szCs w:val="24"/>
        </w:rPr>
        <w:t>ensure</w:t>
      </w:r>
      <w:r w:rsidRPr="00355D1F">
        <w:rPr>
          <w:rFonts w:ascii="Times New Roman" w:hAnsi="Times New Roman" w:cs="Times New Roman"/>
          <w:szCs w:val="24"/>
        </w:rPr>
        <w:t xml:space="preserve"> reliable 911 service and effective communication during 911 outages</w:t>
      </w:r>
      <w:r w:rsidRPr="00355D1F">
        <w:rPr>
          <w:rFonts w:ascii="Times New Roman" w:hAnsi="Times New Roman" w:cs="Times New Roman"/>
          <w:szCs w:val="24"/>
        </w:rPr>
        <w:t>.</w:t>
      </w:r>
      <w:r w:rsidRPr="00355D1F" w:rsidR="00355D1F">
        <w:rPr>
          <w:rFonts w:ascii="Times New Roman" w:hAnsi="Times New Roman" w:cs="Times New Roman"/>
          <w:szCs w:val="24"/>
        </w:rPr>
        <w:t xml:space="preserve">  </w:t>
      </w:r>
      <w:r w:rsidRPr="00355D1F">
        <w:rPr>
          <w:rFonts w:ascii="Times New Roman" w:hAnsi="Times New Roman" w:cs="Times New Roman"/>
        </w:rPr>
        <w:t>The Bureau will continue</w:t>
      </w:r>
      <w:r w:rsidR="00243F6D">
        <w:rPr>
          <w:rFonts w:ascii="Times New Roman" w:hAnsi="Times New Roman" w:cs="Times New Roman"/>
        </w:rPr>
        <w:t xml:space="preserve"> to analyze th</w:t>
      </w:r>
      <w:r w:rsidR="00DB4F7C">
        <w:rPr>
          <w:rFonts w:ascii="Times New Roman" w:hAnsi="Times New Roman" w:cs="Times New Roman"/>
        </w:rPr>
        <w:t>is</w:t>
      </w:r>
      <w:r w:rsidR="00243F6D">
        <w:rPr>
          <w:rFonts w:ascii="Times New Roman" w:hAnsi="Times New Roman" w:cs="Times New Roman"/>
        </w:rPr>
        <w:t xml:space="preserve"> data, and </w:t>
      </w:r>
      <w:r w:rsidRPr="00355D1F">
        <w:rPr>
          <w:rFonts w:ascii="Times New Roman" w:hAnsi="Times New Roman" w:cs="Times New Roman"/>
        </w:rPr>
        <w:t>to</w:t>
      </w:r>
      <w:r w:rsidR="00243F6D">
        <w:rPr>
          <w:rFonts w:ascii="Times New Roman" w:hAnsi="Times New Roman" w:cs="Times New Roman"/>
        </w:rPr>
        <w:t xml:space="preserve"> use th</w:t>
      </w:r>
      <w:r w:rsidR="00DB4F7C">
        <w:rPr>
          <w:rFonts w:ascii="Times New Roman" w:hAnsi="Times New Roman" w:cs="Times New Roman"/>
        </w:rPr>
        <w:t>e</w:t>
      </w:r>
      <w:r w:rsidR="00243F6D">
        <w:rPr>
          <w:rFonts w:ascii="Times New Roman" w:hAnsi="Times New Roman" w:cs="Times New Roman"/>
        </w:rPr>
        <w:t xml:space="preserve"> data in its work to</w:t>
      </w:r>
      <w:r w:rsidRPr="00355D1F">
        <w:rPr>
          <w:rFonts w:ascii="Times New Roman" w:hAnsi="Times New Roman" w:cs="Times New Roman"/>
        </w:rPr>
        <w:t xml:space="preserve"> improve</w:t>
      </w:r>
      <w:r w:rsidR="00243F6D">
        <w:rPr>
          <w:rFonts w:ascii="Times New Roman" w:hAnsi="Times New Roman" w:cs="Times New Roman"/>
        </w:rPr>
        <w:t xml:space="preserve"> network and 911 reliability.  The Bureau </w:t>
      </w:r>
      <w:r w:rsidR="006F2E1F">
        <w:rPr>
          <w:rFonts w:ascii="Times New Roman" w:hAnsi="Times New Roman" w:cs="Times New Roman"/>
        </w:rPr>
        <w:t xml:space="preserve">also notes that the Commission </w:t>
      </w:r>
      <w:r w:rsidR="00243F6D">
        <w:rPr>
          <w:rFonts w:ascii="Times New Roman" w:hAnsi="Times New Roman" w:cs="Times New Roman"/>
        </w:rPr>
        <w:t>plans to</w:t>
      </w:r>
      <w:r w:rsidR="0065349B">
        <w:rPr>
          <w:rFonts w:ascii="Times New Roman" w:hAnsi="Times New Roman" w:cs="Times New Roman"/>
        </w:rPr>
        <w:t xml:space="preserve"> </w:t>
      </w:r>
      <w:r w:rsidRPr="00355D1F" w:rsidR="000310B2">
        <w:rPr>
          <w:rFonts w:ascii="Times New Roman" w:hAnsi="Times New Roman" w:cs="Times New Roman"/>
        </w:rPr>
        <w:t>r</w:t>
      </w:r>
      <w:r w:rsidRPr="00355D1F">
        <w:rPr>
          <w:rFonts w:ascii="Times New Roman" w:hAnsi="Times New Roman" w:cs="Times New Roman"/>
        </w:rPr>
        <w:t xml:space="preserve">eview </w:t>
      </w:r>
      <w:r w:rsidR="00243F6D">
        <w:rPr>
          <w:rFonts w:ascii="Times New Roman" w:hAnsi="Times New Roman" w:cs="Times New Roman"/>
        </w:rPr>
        <w:t>its 911 certification r</w:t>
      </w:r>
      <w:r w:rsidRPr="00355D1F">
        <w:rPr>
          <w:rFonts w:ascii="Times New Roman" w:hAnsi="Times New Roman" w:cs="Times New Roman"/>
        </w:rPr>
        <w:t xml:space="preserve">ules </w:t>
      </w:r>
      <w:r w:rsidR="00B25BBB">
        <w:rPr>
          <w:rFonts w:ascii="Times New Roman" w:hAnsi="Times New Roman" w:cs="Times New Roman"/>
          <w:szCs w:val="24"/>
        </w:rPr>
        <w:t>by January 2019</w:t>
      </w:r>
      <w:r w:rsidRPr="00355D1F">
        <w:rPr>
          <w:rFonts w:ascii="Times New Roman" w:hAnsi="Times New Roman" w:cs="Times New Roman"/>
          <w:szCs w:val="24"/>
        </w:rPr>
        <w:t xml:space="preserve"> “to determine whether they are still technologically appropriate and both adequate and necessary to ensure reliability</w:t>
      </w:r>
      <w:r w:rsidRPr="000310B2">
        <w:rPr>
          <w:rFonts w:ascii="Times New Roman" w:hAnsi="Times New Roman" w:cs="Times New Roman"/>
          <w:szCs w:val="24"/>
        </w:rPr>
        <w:t xml:space="preserve"> and resiliency of 911 networks</w:t>
      </w:r>
      <w:r w:rsidRPr="000310B2" w:rsidR="000310B2">
        <w:rPr>
          <w:rFonts w:ascii="Times New Roman" w:hAnsi="Times New Roman" w:cs="Times New Roman"/>
          <w:szCs w:val="24"/>
        </w:rPr>
        <w:t>.</w:t>
      </w:r>
      <w:r w:rsidRPr="000310B2">
        <w:rPr>
          <w:rFonts w:ascii="Times New Roman" w:hAnsi="Times New Roman" w:cs="Times New Roman"/>
          <w:szCs w:val="24"/>
        </w:rPr>
        <w:t>”</w:t>
      </w:r>
      <w:r>
        <w:rPr>
          <w:rStyle w:val="FootnoteReference"/>
          <w:rFonts w:ascii="Times New Roman" w:hAnsi="Times New Roman" w:cs="Times New Roman"/>
          <w:szCs w:val="24"/>
        </w:rPr>
        <w:footnoteReference w:id="37"/>
      </w:r>
    </w:p>
    <w:sectPr w:rsidSect="00005C51">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FFA" w14:paraId="620DC1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5107300"/>
      <w:docPartObj>
        <w:docPartGallery w:val="Page Numbers (Bottom of Page)"/>
        <w:docPartUnique/>
      </w:docPartObj>
    </w:sdtPr>
    <w:sdtEndPr>
      <w:rPr>
        <w:noProof/>
      </w:rPr>
    </w:sdtEndPr>
    <w:sdtContent>
      <w:p w:rsidR="0010735C" w14:paraId="5DD9CF83" w14:textId="7798FD8A">
        <w:pPr>
          <w:pStyle w:val="Footer"/>
          <w:jc w:val="center"/>
        </w:pPr>
        <w:r>
          <w:fldChar w:fldCharType="begin"/>
        </w:r>
        <w:r>
          <w:instrText xml:space="preserve"> PAGE   \* MERGEFORMAT </w:instrText>
        </w:r>
        <w:r>
          <w:fldChar w:fldCharType="separate"/>
        </w:r>
        <w:r w:rsidR="00FA6FEE">
          <w:rPr>
            <w:noProof/>
          </w:rPr>
          <w:t>9</w:t>
        </w:r>
        <w:r>
          <w:rPr>
            <w:noProof/>
          </w:rPr>
          <w:fldChar w:fldCharType="end"/>
        </w:r>
      </w:p>
    </w:sdtContent>
  </w:sdt>
  <w:p w:rsidR="0010735C" w14:paraId="5662F4C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FFA" w14:paraId="62462B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1564" w:rsidP="00005C51" w14:paraId="48297237" w14:textId="77777777">
      <w:pPr>
        <w:spacing w:after="0" w:line="240" w:lineRule="auto"/>
      </w:pPr>
      <w:r>
        <w:separator/>
      </w:r>
    </w:p>
  </w:footnote>
  <w:footnote w:type="continuationSeparator" w:id="1">
    <w:p w:rsidR="008C1564" w:rsidP="00005C51" w14:paraId="60A4019A" w14:textId="77777777">
      <w:pPr>
        <w:spacing w:after="0" w:line="240" w:lineRule="auto"/>
      </w:pPr>
      <w:r>
        <w:continuationSeparator/>
      </w:r>
    </w:p>
  </w:footnote>
  <w:footnote w:type="continuationNotice" w:id="2">
    <w:p w:rsidR="008C1564" w14:paraId="01944AF0" w14:textId="77777777">
      <w:pPr>
        <w:spacing w:after="0" w:line="240" w:lineRule="auto"/>
      </w:pPr>
    </w:p>
  </w:footnote>
  <w:footnote w:id="3">
    <w:p w:rsidR="0078487E" w:rsidRPr="001A4989" w:rsidP="008C22D4" w14:paraId="46F0491A"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12.4(a)(4)(i)(A).</w:t>
      </w:r>
    </w:p>
  </w:footnote>
  <w:footnote w:id="4">
    <w:p w:rsidR="0078487E" w:rsidRPr="001A4989" w:rsidP="008C22D4" w14:paraId="0B313D05"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12.4(a)(4)(i)(B).  For purposes of this report, the Bureau refers to these providers as “covered entities.”</w:t>
      </w:r>
    </w:p>
  </w:footnote>
  <w:footnote w:id="5">
    <w:p w:rsidR="0078487E" w:rsidRPr="00646994" w:rsidP="008C22D4" w14:paraId="7AFEA2BC" w14:textId="77777777">
      <w:pPr>
        <w:pStyle w:val="FootnoteText"/>
        <w:rPr>
          <w:rFonts w:ascii="Times New Roman" w:hAnsi="Times New Roman" w:cs="Times New Roman"/>
          <w:b/>
        </w:rPr>
      </w:pPr>
      <w:r w:rsidRPr="00646994">
        <w:rPr>
          <w:rStyle w:val="FootnoteReference"/>
          <w:rFonts w:ascii="Times New Roman" w:hAnsi="Times New Roman" w:cs="Times New Roman"/>
        </w:rPr>
        <w:footnoteRef/>
      </w:r>
      <w:r w:rsidRPr="00646994">
        <w:rPr>
          <w:rFonts w:ascii="Times New Roman" w:hAnsi="Times New Roman" w:cs="Times New Roman"/>
        </w:rPr>
        <w:t xml:space="preserve"> 47 CFR § 12.4(c).</w:t>
      </w:r>
      <w:r w:rsidRPr="00646994">
        <w:rPr>
          <w:rFonts w:ascii="Times New Roman" w:hAnsi="Times New Roman" w:cs="Times New Roman"/>
          <w:b/>
        </w:rPr>
        <w:t xml:space="preserve"> </w:t>
      </w:r>
    </w:p>
  </w:footnote>
  <w:footnote w:id="6">
    <w:p w:rsidR="0078487E" w:rsidRPr="001A4989" w:rsidP="008C22D4" w14:paraId="15B5EFCC" w14:textId="77777777">
      <w:pPr>
        <w:pStyle w:val="FootnoteText"/>
        <w:rPr>
          <w:rFonts w:ascii="Times New Roman" w:hAnsi="Times New Roman"/>
        </w:rPr>
      </w:pPr>
      <w:r w:rsidRPr="001A4989">
        <w:rPr>
          <w:rStyle w:val="FootnoteReference"/>
          <w:rFonts w:ascii="Times New Roman" w:hAnsi="Times New Roman"/>
        </w:rPr>
        <w:footnoteRef/>
      </w:r>
      <w:r w:rsidRPr="00646994">
        <w:rPr>
          <w:rFonts w:ascii="Times New Roman" w:hAnsi="Times New Roman" w:cs="Times New Roman"/>
        </w:rPr>
        <w:t xml:space="preserve"> </w:t>
      </w:r>
      <w:r w:rsidRPr="00646994">
        <w:rPr>
          <w:rFonts w:ascii="Times New Roman" w:hAnsi="Times New Roman" w:cs="Times New Roman"/>
          <w:i/>
        </w:rPr>
        <w:t>See</w:t>
      </w:r>
      <w:r w:rsidRPr="001A4989">
        <w:rPr>
          <w:rFonts w:ascii="Times New Roman" w:hAnsi="Times New Roman"/>
          <w:i/>
        </w:rPr>
        <w:t xml:space="preserve"> </w:t>
      </w:r>
      <w:r w:rsidRPr="001A4989">
        <w:rPr>
          <w:rFonts w:ascii="Times New Roman" w:hAnsi="Times New Roman"/>
        </w:rPr>
        <w:t>47 CFR § 12.4(c</w:t>
      </w:r>
      <w:r w:rsidRPr="00646994">
        <w:rPr>
          <w:rFonts w:ascii="Times New Roman" w:hAnsi="Times New Roman" w:cs="Times New Roman"/>
        </w:rPr>
        <w:t>)(1)(ii)(A); 47 CFR § 12.4(c)(2)(ii)(A); 47 CFR § 12.4(c)(3)(ii)(A).</w:t>
      </w:r>
    </w:p>
  </w:footnote>
  <w:footnote w:id="7">
    <w:p w:rsidR="0078487E" w:rsidRPr="001A4989" w:rsidP="008C22D4" w14:paraId="7FBD355B"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12.4(c)(1)-(3).</w:t>
      </w:r>
    </w:p>
  </w:footnote>
  <w:footnote w:id="8">
    <w:p w:rsidR="0078487E" w:rsidRPr="00646994" w:rsidP="008C22D4" w14:paraId="18B4D281" w14:textId="77777777">
      <w:pPr>
        <w:pStyle w:val="FootnoteText"/>
        <w:rPr>
          <w:rFonts w:ascii="Times New Roman" w:hAnsi="Times New Roman" w:cs="Times New Roman"/>
        </w:rPr>
      </w:pPr>
      <w:r w:rsidRPr="00646994">
        <w:rPr>
          <w:rStyle w:val="FootnoteReference"/>
          <w:rFonts w:ascii="Times New Roman" w:hAnsi="Times New Roman" w:cs="Times New Roman"/>
        </w:rPr>
        <w:footnoteRef/>
      </w:r>
      <w:r w:rsidRPr="00646994">
        <w:rPr>
          <w:rFonts w:ascii="Times New Roman" w:hAnsi="Times New Roman" w:cs="Times New Roman"/>
        </w:rPr>
        <w:t xml:space="preserve"> The </w:t>
      </w:r>
      <w:r>
        <w:rPr>
          <w:rFonts w:ascii="Times New Roman" w:hAnsi="Times New Roman" w:cs="Times New Roman"/>
        </w:rPr>
        <w:t xml:space="preserve">2017 filing deadline </w:t>
      </w:r>
      <w:r w:rsidRPr="00646994">
        <w:rPr>
          <w:rFonts w:ascii="Times New Roman" w:hAnsi="Times New Roman" w:cs="Times New Roman"/>
        </w:rPr>
        <w:t xml:space="preserve">was extended </w:t>
      </w:r>
      <w:r>
        <w:rPr>
          <w:rFonts w:ascii="Times New Roman" w:hAnsi="Times New Roman" w:cs="Times New Roman"/>
        </w:rPr>
        <w:t xml:space="preserve">from October 15, 2017 to October 30, 2017, </w:t>
      </w:r>
      <w:r w:rsidRPr="00646994">
        <w:rPr>
          <w:rFonts w:ascii="Times New Roman" w:hAnsi="Times New Roman" w:cs="Times New Roman"/>
        </w:rPr>
        <w:t xml:space="preserve">due to the effects of </w:t>
      </w:r>
      <w:r>
        <w:rPr>
          <w:rFonts w:ascii="Times New Roman" w:hAnsi="Times New Roman" w:cs="Times New Roman"/>
        </w:rPr>
        <w:t>H</w:t>
      </w:r>
      <w:r w:rsidRPr="00646994">
        <w:rPr>
          <w:rFonts w:ascii="Times New Roman" w:hAnsi="Times New Roman" w:cs="Times New Roman"/>
        </w:rPr>
        <w:t>urricanes</w:t>
      </w:r>
      <w:r>
        <w:rPr>
          <w:rFonts w:ascii="Times New Roman" w:hAnsi="Times New Roman" w:cs="Times New Roman"/>
        </w:rPr>
        <w:t xml:space="preserve"> Harvey, Irma, and Maria.  </w:t>
      </w:r>
      <w:r>
        <w:rPr>
          <w:rFonts w:ascii="Times New Roman" w:hAnsi="Times New Roman" w:cs="Times New Roman"/>
          <w:i/>
        </w:rPr>
        <w:t xml:space="preserve">See </w:t>
      </w:r>
      <w:r w:rsidRPr="00F93B92">
        <w:rPr>
          <w:rFonts w:ascii="Times New Roman" w:hAnsi="Times New Roman" w:cs="Times New Roman"/>
          <w:i/>
        </w:rPr>
        <w:t>Public Safety and Homeland Security Bureau Extends Annual Reliability Certification Deadline</w:t>
      </w:r>
      <w:r>
        <w:rPr>
          <w:rFonts w:ascii="Times New Roman" w:hAnsi="Times New Roman" w:cs="Times New Roman"/>
        </w:rPr>
        <w:t>, PS Docket Nos. 13-75, 11-60, Public Notice, 32 FCC Rcd 7340 (PSHSB 2017).</w:t>
      </w:r>
    </w:p>
  </w:footnote>
  <w:footnote w:id="9">
    <w:p w:rsidR="0078487E" w:rsidP="006437DB" w14:paraId="6BFC6ECF" w14:textId="77777777">
      <w:pPr>
        <w:pStyle w:val="FootnoteText"/>
      </w:pPr>
      <w:r>
        <w:rPr>
          <w:rStyle w:val="FootnoteReference"/>
        </w:rPr>
        <w:footnoteRef/>
      </w:r>
      <w:r>
        <w:t xml:space="preserve"> </w:t>
      </w:r>
      <w:r>
        <w:rPr>
          <w:rFonts w:ascii="Times New Roman" w:hAnsi="Times New Roman"/>
        </w:rPr>
        <w:t>Fourteen</w:t>
      </w:r>
      <w:r w:rsidRPr="002E32C4">
        <w:rPr>
          <w:rFonts w:ascii="Times New Roman" w:hAnsi="Times New Roman"/>
        </w:rPr>
        <w:t xml:space="preserve"> covered entities do not have circuit diversity; </w:t>
      </w:r>
      <w:r>
        <w:rPr>
          <w:rFonts w:ascii="Times New Roman" w:hAnsi="Times New Roman"/>
        </w:rPr>
        <w:t xml:space="preserve">and </w:t>
      </w:r>
      <w:r w:rsidRPr="002E32C4">
        <w:rPr>
          <w:rFonts w:ascii="Times New Roman" w:hAnsi="Times New Roman"/>
        </w:rPr>
        <w:t xml:space="preserve">91 covered entities stated </w:t>
      </w:r>
      <w:r>
        <w:rPr>
          <w:rFonts w:ascii="Times New Roman" w:hAnsi="Times New Roman"/>
        </w:rPr>
        <w:t xml:space="preserve">that the </w:t>
      </w:r>
      <w:r w:rsidRPr="002E32C4">
        <w:rPr>
          <w:rFonts w:ascii="Times New Roman" w:hAnsi="Times New Roman"/>
        </w:rPr>
        <w:t>circuit diversity requirement is not applicable to them.</w:t>
      </w:r>
    </w:p>
  </w:footnote>
  <w:footnote w:id="10">
    <w:p w:rsidR="0078487E" w:rsidRPr="004F3C01" w:rsidP="006437DB" w14:paraId="4E33F422" w14:textId="77777777">
      <w:pPr>
        <w:pStyle w:val="FootnoteText"/>
        <w:rPr>
          <w:rFonts w:ascii="Times New Roman" w:hAnsi="Times New Roman"/>
        </w:rPr>
      </w:pPr>
      <w:r>
        <w:rPr>
          <w:rStyle w:val="FootnoteReference"/>
        </w:rPr>
        <w:footnoteRef/>
      </w:r>
      <w:r>
        <w:t xml:space="preserve"> </w:t>
      </w:r>
      <w:r>
        <w:rPr>
          <w:rFonts w:ascii="Times New Roman" w:hAnsi="Times New Roman"/>
        </w:rPr>
        <w:t>One</w:t>
      </w:r>
      <w:r w:rsidRPr="002E32C4">
        <w:rPr>
          <w:rFonts w:ascii="Times New Roman" w:hAnsi="Times New Roman"/>
        </w:rPr>
        <w:t xml:space="preserve"> covered entity </w:t>
      </w:r>
      <w:r>
        <w:rPr>
          <w:rFonts w:ascii="Times New Roman" w:hAnsi="Times New Roman"/>
        </w:rPr>
        <w:t>responded “no” to the backup power requirement, but should have responded “yes” because it does in fact have backup power to its central office</w:t>
      </w:r>
      <w:r w:rsidRPr="002E32C4">
        <w:rPr>
          <w:rFonts w:ascii="Times New Roman" w:hAnsi="Times New Roman"/>
        </w:rPr>
        <w:t>;</w:t>
      </w:r>
      <w:r>
        <w:rPr>
          <w:rFonts w:ascii="Times New Roman" w:hAnsi="Times New Roman"/>
        </w:rPr>
        <w:t xml:space="preserve"> and nine</w:t>
      </w:r>
      <w:r w:rsidRPr="002E32C4">
        <w:rPr>
          <w:rFonts w:ascii="Times New Roman" w:hAnsi="Times New Roman"/>
        </w:rPr>
        <w:t xml:space="preserve"> covered entities stated </w:t>
      </w:r>
      <w:r>
        <w:rPr>
          <w:rFonts w:ascii="Times New Roman" w:hAnsi="Times New Roman"/>
        </w:rPr>
        <w:t>that the back</w:t>
      </w:r>
      <w:r w:rsidRPr="002E32C4">
        <w:rPr>
          <w:rFonts w:ascii="Times New Roman" w:hAnsi="Times New Roman"/>
        </w:rPr>
        <w:t>up power requirement is not applicable to them.</w:t>
      </w:r>
    </w:p>
  </w:footnote>
  <w:footnote w:id="11">
    <w:p w:rsidR="0078487E" w:rsidRPr="002E32C4" w:rsidP="006437DB" w14:paraId="3A299CC9" w14:textId="77777777">
      <w:pPr>
        <w:pStyle w:val="FootnoteText"/>
        <w:rPr>
          <w:rFonts w:ascii="Times New Roman" w:hAnsi="Times New Roman"/>
        </w:rPr>
      </w:pPr>
      <w:r>
        <w:rPr>
          <w:rStyle w:val="FootnoteReference"/>
        </w:rPr>
        <w:footnoteRef/>
      </w:r>
      <w:r>
        <w:t xml:space="preserve"> </w:t>
      </w:r>
      <w:r>
        <w:rPr>
          <w:rFonts w:ascii="Times New Roman" w:hAnsi="Times New Roman"/>
        </w:rPr>
        <w:t>Twelve</w:t>
      </w:r>
      <w:r w:rsidRPr="002E32C4">
        <w:rPr>
          <w:rFonts w:ascii="Times New Roman" w:hAnsi="Times New Roman"/>
        </w:rPr>
        <w:t xml:space="preserve"> covered entities do not have diverse network monitoring; </w:t>
      </w:r>
      <w:r>
        <w:rPr>
          <w:rFonts w:ascii="Times New Roman" w:hAnsi="Times New Roman"/>
        </w:rPr>
        <w:t xml:space="preserve">and </w:t>
      </w:r>
      <w:r w:rsidRPr="002E32C4">
        <w:rPr>
          <w:rFonts w:ascii="Times New Roman" w:hAnsi="Times New Roman"/>
        </w:rPr>
        <w:t xml:space="preserve">108 covered entities stated that </w:t>
      </w:r>
      <w:r>
        <w:rPr>
          <w:rFonts w:ascii="Times New Roman" w:hAnsi="Times New Roman"/>
        </w:rPr>
        <w:t xml:space="preserve">the </w:t>
      </w:r>
      <w:r w:rsidRPr="002E32C4">
        <w:rPr>
          <w:rFonts w:ascii="Times New Roman" w:hAnsi="Times New Roman"/>
        </w:rPr>
        <w:t>network monitoring requirement is not applicable to them.</w:t>
      </w:r>
    </w:p>
  </w:footnote>
  <w:footnote w:id="12">
    <w:p w:rsidR="0078487E" w:rsidRPr="001A4989" w14:paraId="69709C17"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12.4(c)(1)(i)(A).</w:t>
      </w:r>
    </w:p>
  </w:footnote>
  <w:footnote w:id="13">
    <w:p w:rsidR="0078487E" w:rsidRPr="001A4989" w14:paraId="20210CBA"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12.4(c)(1)(i)(B).</w:t>
      </w:r>
    </w:p>
  </w:footnote>
  <w:footnote w:id="14">
    <w:p w:rsidR="0078487E" w:rsidRPr="001A4989" w14:paraId="2EF20467"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12.4(c)(1)(i)(C).</w:t>
      </w:r>
    </w:p>
  </w:footnote>
  <w:footnote w:id="15">
    <w:p w:rsidR="0078487E" w:rsidRPr="001A4989" w14:paraId="159FAC2D"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12.4(c)(1)(ii)(A).  Providers must describe their alternative measures in a text field</w:t>
      </w:r>
      <w:r>
        <w:rPr>
          <w:rFonts w:ascii="Times New Roman" w:hAnsi="Times New Roman" w:cs="Times New Roman"/>
        </w:rPr>
        <w:t xml:space="preserve"> or select an option from a drop-down menu</w:t>
      </w:r>
      <w:r w:rsidRPr="001A4989">
        <w:rPr>
          <w:rFonts w:ascii="Times New Roman" w:hAnsi="Times New Roman"/>
        </w:rPr>
        <w:t>.</w:t>
      </w:r>
    </w:p>
  </w:footnote>
  <w:footnote w:id="16">
    <w:p w:rsidR="0078487E" w:rsidRPr="001A4989" w14:paraId="299CFC23"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12.4(a)(4)(ii).  While the</w:t>
      </w:r>
      <w:r>
        <w:rPr>
          <w:rFonts w:ascii="Times New Roman" w:hAnsi="Times New Roman"/>
        </w:rPr>
        <w:t xml:space="preserve"> 90</w:t>
      </w:r>
      <w:r w:rsidRPr="001A4989">
        <w:rPr>
          <w:rFonts w:ascii="Times New Roman" w:hAnsi="Times New Roman"/>
        </w:rPr>
        <w:t xml:space="preserve"> </w:t>
      </w:r>
      <w:r w:rsidRPr="00646994">
        <w:rPr>
          <w:rFonts w:ascii="Times New Roman" w:hAnsi="Times New Roman" w:cs="Times New Roman"/>
        </w:rPr>
        <w:t>covered entities</w:t>
      </w:r>
      <w:r w:rsidRPr="001A4989">
        <w:rPr>
          <w:rFonts w:ascii="Times New Roman" w:hAnsi="Times New Roman"/>
        </w:rPr>
        <w:t xml:space="preserve"> </w:t>
      </w:r>
      <w:r>
        <w:rPr>
          <w:rFonts w:ascii="Times New Roman" w:hAnsi="Times New Roman"/>
        </w:rPr>
        <w:t xml:space="preserve">that indicated the requirement was “not applicable,” </w:t>
      </w:r>
      <w:r w:rsidRPr="001A4989">
        <w:rPr>
          <w:rFonts w:ascii="Times New Roman" w:hAnsi="Times New Roman"/>
        </w:rPr>
        <w:t xml:space="preserve">we note that </w:t>
      </w:r>
      <w:r w:rsidRPr="00646994">
        <w:rPr>
          <w:rFonts w:ascii="Times New Roman" w:hAnsi="Times New Roman" w:cs="Times New Roman"/>
        </w:rPr>
        <w:t>all</w:t>
      </w:r>
      <w:r w:rsidRPr="001A4989">
        <w:rPr>
          <w:rFonts w:ascii="Times New Roman" w:hAnsi="Times New Roman"/>
        </w:rPr>
        <w:t xml:space="preserve"> of these </w:t>
      </w:r>
      <w:r w:rsidRPr="00646994">
        <w:rPr>
          <w:rFonts w:ascii="Times New Roman" w:hAnsi="Times New Roman" w:cs="Times New Roman"/>
        </w:rPr>
        <w:t>covered entities</w:t>
      </w:r>
      <w:r w:rsidRPr="001A4989">
        <w:rPr>
          <w:rFonts w:ascii="Times New Roman" w:hAnsi="Times New Roman"/>
        </w:rPr>
        <w:t xml:space="preserve"> are small carriers.  Smaller carriers do not typically operate selective routers and do not have to certify with respect to circuit diversity.  Similarly, </w:t>
      </w:r>
      <w:r w:rsidRPr="00646994">
        <w:rPr>
          <w:rFonts w:ascii="Times New Roman" w:hAnsi="Times New Roman" w:cs="Times New Roman"/>
        </w:rPr>
        <w:t>14</w:t>
      </w:r>
      <w:r w:rsidRPr="001A4989">
        <w:rPr>
          <w:rFonts w:ascii="Times New Roman" w:hAnsi="Times New Roman"/>
        </w:rPr>
        <w:t xml:space="preserve"> small carriers responded “no” to this certification element rather than “not applicable.” </w:t>
      </w:r>
    </w:p>
  </w:footnote>
  <w:footnote w:id="17">
    <w:p w:rsidR="0078487E" w14:paraId="068190A0" w14:textId="77777777">
      <w:pPr>
        <w:pStyle w:val="FootnoteText"/>
      </w:pPr>
      <w:r>
        <w:rPr>
          <w:rStyle w:val="FootnoteReference"/>
        </w:rPr>
        <w:footnoteRef/>
      </w:r>
      <w:r>
        <w:t xml:space="preserve"> </w:t>
      </w:r>
      <w:r w:rsidRPr="00F605FC">
        <w:rPr>
          <w:rFonts w:ascii="Times New Roman" w:hAnsi="Times New Roman"/>
        </w:rPr>
        <w:t>None of the</w:t>
      </w:r>
      <w:r>
        <w:rPr>
          <w:rFonts w:ascii="Times New Roman" w:hAnsi="Times New Roman"/>
        </w:rPr>
        <w:t xml:space="preserve"> </w:t>
      </w:r>
      <w:r w:rsidRPr="00F605FC">
        <w:rPr>
          <w:rFonts w:ascii="Times New Roman" w:hAnsi="Times New Roman"/>
        </w:rPr>
        <w:t xml:space="preserve">14 </w:t>
      </w:r>
      <w:r>
        <w:rPr>
          <w:rFonts w:ascii="Times New Roman" w:hAnsi="Times New Roman"/>
        </w:rPr>
        <w:t>covered entities that checked “n</w:t>
      </w:r>
      <w:r w:rsidRPr="00F605FC">
        <w:rPr>
          <w:rFonts w:ascii="Times New Roman" w:hAnsi="Times New Roman"/>
        </w:rPr>
        <w:t xml:space="preserve">o” are covered </w:t>
      </w:r>
      <w:r>
        <w:rPr>
          <w:rFonts w:ascii="Times New Roman" w:hAnsi="Times New Roman"/>
        </w:rPr>
        <w:t>entities</w:t>
      </w:r>
      <w:r w:rsidRPr="00F605FC">
        <w:rPr>
          <w:rFonts w:ascii="Times New Roman" w:hAnsi="Times New Roman"/>
        </w:rPr>
        <w:t xml:space="preserve"> for this element of </w:t>
      </w:r>
      <w:r>
        <w:rPr>
          <w:rFonts w:ascii="Times New Roman" w:hAnsi="Times New Roman"/>
        </w:rPr>
        <w:t xml:space="preserve">the </w:t>
      </w:r>
      <w:r w:rsidRPr="00F605FC">
        <w:rPr>
          <w:rFonts w:ascii="Times New Roman" w:hAnsi="Times New Roman"/>
        </w:rPr>
        <w:t>certification</w:t>
      </w:r>
      <w:r>
        <w:rPr>
          <w:rFonts w:ascii="Times New Roman" w:hAnsi="Times New Roman"/>
        </w:rPr>
        <w:t>, because</w:t>
      </w:r>
      <w:r w:rsidRPr="00F605FC">
        <w:rPr>
          <w:rFonts w:ascii="Times New Roman" w:hAnsi="Times New Roman"/>
        </w:rPr>
        <w:t xml:space="preserve"> </w:t>
      </w:r>
      <w:r>
        <w:rPr>
          <w:rFonts w:ascii="Times New Roman" w:hAnsi="Times New Roman"/>
        </w:rPr>
        <w:t xml:space="preserve">they </w:t>
      </w:r>
      <w:r w:rsidRPr="00F605FC">
        <w:rPr>
          <w:rFonts w:ascii="Times New Roman" w:hAnsi="Times New Roman"/>
        </w:rPr>
        <w:t xml:space="preserve">do not operate the selective routers in the areas </w:t>
      </w:r>
      <w:r>
        <w:rPr>
          <w:rFonts w:ascii="Times New Roman" w:hAnsi="Times New Roman"/>
        </w:rPr>
        <w:t>in which</w:t>
      </w:r>
      <w:r w:rsidRPr="00F605FC">
        <w:rPr>
          <w:rFonts w:ascii="Times New Roman" w:hAnsi="Times New Roman"/>
        </w:rPr>
        <w:t xml:space="preserve"> they operate</w:t>
      </w:r>
      <w:r>
        <w:rPr>
          <w:rFonts w:ascii="Times New Roman" w:hAnsi="Times New Roman"/>
        </w:rPr>
        <w:t>.</w:t>
      </w:r>
      <w:r w:rsidRPr="00F605FC">
        <w:rPr>
          <w:rFonts w:ascii="Times New Roman" w:hAnsi="Times New Roman"/>
        </w:rPr>
        <w:t xml:space="preserve">  </w:t>
      </w:r>
      <w:r>
        <w:rPr>
          <w:rFonts w:ascii="Times New Roman" w:hAnsi="Times New Roman"/>
        </w:rPr>
        <w:t>Therefore, a</w:t>
      </w:r>
      <w:r w:rsidRPr="00F605FC">
        <w:rPr>
          <w:rFonts w:ascii="Times New Roman" w:hAnsi="Times New Roman"/>
        </w:rPr>
        <w:t xml:space="preserve">ll 14 companies should have indicated </w:t>
      </w:r>
      <w:r>
        <w:rPr>
          <w:rFonts w:ascii="Times New Roman" w:hAnsi="Times New Roman"/>
        </w:rPr>
        <w:t>“n</w:t>
      </w:r>
      <w:r w:rsidRPr="00F605FC">
        <w:rPr>
          <w:rFonts w:ascii="Times New Roman" w:hAnsi="Times New Roman"/>
        </w:rPr>
        <w:t xml:space="preserve">ot </w:t>
      </w:r>
      <w:r>
        <w:rPr>
          <w:rFonts w:ascii="Times New Roman" w:hAnsi="Times New Roman"/>
        </w:rPr>
        <w:t>a</w:t>
      </w:r>
      <w:r w:rsidRPr="00F605FC">
        <w:rPr>
          <w:rFonts w:ascii="Times New Roman" w:hAnsi="Times New Roman"/>
        </w:rPr>
        <w:t>pplicable” for this element.</w:t>
      </w:r>
    </w:p>
  </w:footnote>
  <w:footnote w:id="18">
    <w:p w:rsidR="0078487E" w14:paraId="33960FA9" w14:textId="77777777">
      <w:pPr>
        <w:pStyle w:val="FootnoteText"/>
      </w:pPr>
      <w:r>
        <w:rPr>
          <w:rStyle w:val="FootnoteReference"/>
        </w:rPr>
        <w:footnoteRef/>
      </w:r>
      <w:r>
        <w:t xml:space="preserve"> </w:t>
      </w:r>
      <w:r>
        <w:rPr>
          <w:rFonts w:ascii="Times New Roman" w:hAnsi="Times New Roman" w:cs="Times New Roman"/>
        </w:rPr>
        <w:t>Bureau staff has reached out to this entity, which confirmed that it has since tagged all of the 911 circuits.</w:t>
      </w:r>
      <w:r>
        <w:t xml:space="preserve"> </w:t>
      </w:r>
    </w:p>
  </w:footnote>
  <w:footnote w:id="19">
    <w:p w:rsidR="0078487E" w:rsidRPr="001A4989" w14:paraId="1EE38F74"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12.4(c)(1)(i)(A).</w:t>
      </w:r>
    </w:p>
  </w:footnote>
  <w:footnote w:id="20">
    <w:p w:rsidR="0078487E" w:rsidRPr="001A4989" w14:paraId="1B030C71" w14:textId="77777777">
      <w:pPr>
        <w:pStyle w:val="FootnoteText"/>
        <w:rPr>
          <w:rFonts w:ascii="Times New Roman" w:hAnsi="Times New Roman"/>
        </w:rPr>
      </w:pPr>
      <w:r w:rsidRPr="001A4989">
        <w:rPr>
          <w:rStyle w:val="FootnoteReference"/>
          <w:rFonts w:ascii="Times New Roman" w:hAnsi="Times New Roman"/>
        </w:rPr>
        <w:footnoteRef/>
      </w:r>
      <w:r w:rsidRPr="00646994">
        <w:rPr>
          <w:rFonts w:ascii="Times New Roman" w:hAnsi="Times New Roman" w:cs="Times New Roman"/>
        </w:rPr>
        <w:t xml:space="preserve"> 47 CFR § 12.4(c)(2).  Backup power may include fixed or portable generators, batteries, fuel cells, or a combination of these and other measures to maintain full functionality of 911 service when the primary power source is unavailable.  </w:t>
      </w:r>
      <w:r w:rsidRPr="00646994">
        <w:rPr>
          <w:rFonts w:ascii="Times New Roman" w:hAnsi="Times New Roman" w:cs="Times New Roman"/>
          <w:i/>
        </w:rPr>
        <w:t xml:space="preserve">See </w:t>
      </w:r>
      <w:r w:rsidRPr="00646994">
        <w:rPr>
          <w:rFonts w:ascii="Times New Roman" w:hAnsi="Times New Roman" w:cs="Times New Roman"/>
        </w:rPr>
        <w:t xml:space="preserve">47 CFR § 12.4(c)(2)(i)(A). </w:t>
      </w:r>
    </w:p>
  </w:footnote>
  <w:footnote w:id="21">
    <w:p w:rsidR="0078487E" w:rsidRPr="001A4989" w14:paraId="5F010079"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12.4(c)(2)(i)(A).</w:t>
      </w:r>
    </w:p>
  </w:footnote>
  <w:footnote w:id="22">
    <w:p w:rsidR="0078487E" w:rsidRPr="001A4989" w14:paraId="447C0F5A"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w:t>
      </w:r>
      <w:r>
        <w:rPr>
          <w:rFonts w:ascii="Times New Roman" w:hAnsi="Times New Roman"/>
        </w:rPr>
        <w:t xml:space="preserve"> </w:t>
      </w:r>
      <w:r w:rsidRPr="001A4989">
        <w:rPr>
          <w:rFonts w:ascii="Times New Roman" w:hAnsi="Times New Roman"/>
        </w:rPr>
        <w:t>12.4(c)(2)(ii)(A).</w:t>
      </w:r>
    </w:p>
  </w:footnote>
  <w:footnote w:id="23">
    <w:p w:rsidR="0078487E" w:rsidRPr="001A4989" w:rsidP="00295F7F" w14:paraId="6665D106"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12.4(c)(2)(i)(A).</w:t>
      </w:r>
    </w:p>
  </w:footnote>
  <w:footnote w:id="24">
    <w:p w:rsidR="0078487E" w:rsidRPr="001A4989" w14:paraId="6B10D182"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12.4(c)(2)(i)(A).</w:t>
      </w:r>
    </w:p>
  </w:footnote>
  <w:footnote w:id="25">
    <w:p w:rsidR="0078487E" w:rsidRPr="005E0794" w14:paraId="7F424B81" w14:textId="77777777">
      <w:pPr>
        <w:pStyle w:val="FootnoteText"/>
        <w:rPr>
          <w:rFonts w:ascii="Times New Roman" w:hAnsi="Times New Roman" w:cs="Times New Roman"/>
        </w:rPr>
      </w:pPr>
      <w:r w:rsidRPr="005E0794">
        <w:rPr>
          <w:rStyle w:val="FootnoteReference"/>
          <w:rFonts w:ascii="Times New Roman" w:hAnsi="Times New Roman" w:cs="Times New Roman"/>
        </w:rPr>
        <w:footnoteRef/>
      </w:r>
      <w:r w:rsidRPr="005E0794">
        <w:rPr>
          <w:rFonts w:ascii="Times New Roman" w:hAnsi="Times New Roman" w:cs="Times New Roman"/>
        </w:rPr>
        <w:t xml:space="preserve"> </w:t>
      </w:r>
      <w:r w:rsidRPr="005E0794">
        <w:rPr>
          <w:rFonts w:ascii="Times New Roman" w:hAnsi="Times New Roman" w:cs="Times New Roman"/>
          <w:i/>
        </w:rPr>
        <w:t>See</w:t>
      </w:r>
      <w:r w:rsidRPr="005E0794">
        <w:rPr>
          <w:rFonts w:ascii="Times New Roman" w:hAnsi="Times New Roman" w:cs="Times New Roman"/>
        </w:rPr>
        <w:t xml:space="preserve"> 47 CFR § 12.4(c)(2)(i)(A)-(D).</w:t>
      </w:r>
    </w:p>
  </w:footnote>
  <w:footnote w:id="26">
    <w:p w:rsidR="0078487E" w:rsidRPr="00EA44CC" w14:paraId="2D5787A1" w14:textId="77777777">
      <w:pPr>
        <w:pStyle w:val="FootnoteText"/>
        <w:rPr>
          <w:rFonts w:ascii="Times New Roman" w:hAnsi="Times New Roman" w:cs="Times New Roman"/>
        </w:rPr>
      </w:pPr>
      <w:r w:rsidRPr="00EA44CC">
        <w:rPr>
          <w:rStyle w:val="FootnoteReference"/>
          <w:rFonts w:ascii="Times New Roman" w:hAnsi="Times New Roman" w:cs="Times New Roman"/>
        </w:rPr>
        <w:footnoteRef/>
      </w:r>
      <w:r w:rsidRPr="00EA44CC">
        <w:rPr>
          <w:rFonts w:ascii="Times New Roman" w:hAnsi="Times New Roman" w:cs="Times New Roman"/>
        </w:rPr>
        <w:t xml:space="preserve"> 47 CFR §§ 12.4(c)(2)(i)(B), 12.4(c)(2)(ii)</w:t>
      </w:r>
    </w:p>
  </w:footnote>
  <w:footnote w:id="27">
    <w:p w:rsidR="0078487E" w:rsidRPr="001A4989" w14:paraId="11FAF765"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12.4(c)(2)(i)(C).</w:t>
      </w:r>
      <w:r w:rsidRPr="00586B74">
        <w:rPr>
          <w:rFonts w:ascii="Times New Roman" w:hAnsi="Times New Roman" w:cs="Times New Roman"/>
        </w:rPr>
        <w:t xml:space="preserve"> </w:t>
      </w:r>
      <w:bookmarkStart w:id="20" w:name="_Hlk506889429"/>
      <w:r>
        <w:rPr>
          <w:rFonts w:ascii="Times New Roman" w:hAnsi="Times New Roman" w:cs="Times New Roman"/>
        </w:rPr>
        <w:t xml:space="preserve"> </w:t>
      </w:r>
      <w:r w:rsidRPr="00646994">
        <w:rPr>
          <w:rFonts w:ascii="Times New Roman" w:hAnsi="Times New Roman" w:cs="Times New Roman"/>
        </w:rPr>
        <w:t>For offices without permanent generators, the automatic generator start element is unnecessary</w:t>
      </w:r>
      <w:r>
        <w:rPr>
          <w:rFonts w:ascii="Times New Roman" w:hAnsi="Times New Roman" w:cs="Times New Roman"/>
        </w:rPr>
        <w:t xml:space="preserve"> as its only needed for offices with permanent generators. </w:t>
      </w:r>
      <w:bookmarkEnd w:id="20"/>
    </w:p>
  </w:footnote>
  <w:footnote w:id="28">
    <w:p w:rsidR="0078487E" w:rsidRPr="001A4989" w14:paraId="63F1913D"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12.4(c)(2)(i)(D), 12.4(c)(2)(ii).</w:t>
      </w:r>
    </w:p>
  </w:footnote>
  <w:footnote w:id="29">
    <w:p w:rsidR="0078487E" w:rsidRPr="001A4989" w:rsidP="002D752F" w14:paraId="3B07B087"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Of the remaining two central offices, one has more than two generators, which provide a backup power source when one generator fails.  The other central office has an arrangement that starts up a second generator when necessary. </w:t>
      </w:r>
    </w:p>
  </w:footnote>
  <w:footnote w:id="30">
    <w:p w:rsidR="0078487E" w:rsidRPr="001A4989" w14:paraId="310BF9A5"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12.4(c)(3)(i)(A).</w:t>
      </w:r>
      <w:r w:rsidRPr="00646994">
        <w:rPr>
          <w:rFonts w:ascii="Times New Roman" w:hAnsi="Times New Roman" w:cs="Times New Roman"/>
        </w:rPr>
        <w:t xml:space="preserve">  Aggregation points are</w:t>
      </w:r>
      <w:r>
        <w:rPr>
          <w:rFonts w:ascii="Times New Roman" w:hAnsi="Times New Roman" w:cs="Times New Roman"/>
        </w:rPr>
        <w:t xml:space="preserve"> connected to multiple 911 service areas and</w:t>
      </w:r>
      <w:r w:rsidRPr="00646994">
        <w:rPr>
          <w:rFonts w:ascii="Times New Roman" w:hAnsi="Times New Roman" w:cs="Times New Roman"/>
        </w:rPr>
        <w:t xml:space="preserve"> used to gather network monitoring data.</w:t>
      </w:r>
    </w:p>
  </w:footnote>
  <w:footnote w:id="31">
    <w:p w:rsidR="0078487E" w:rsidRPr="001A4989" w14:paraId="3374F72C"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12.4(c)(3)(i)(B).</w:t>
      </w:r>
    </w:p>
  </w:footnote>
  <w:footnote w:id="32">
    <w:p w:rsidR="0078487E" w:rsidRPr="001A4989" w14:paraId="293B30B9"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12.4(c)(3)(i)(C).</w:t>
      </w:r>
    </w:p>
  </w:footnote>
  <w:footnote w:id="33">
    <w:p w:rsidR="0078487E" w:rsidRPr="001A4989" w14:paraId="5EC8E599" w14:textId="77777777">
      <w:pPr>
        <w:pStyle w:val="FootnoteText"/>
        <w:rPr>
          <w:rFonts w:ascii="Times New Roman" w:hAnsi="Times New Roman"/>
        </w:rPr>
      </w:pPr>
      <w:r w:rsidRPr="001A4989">
        <w:rPr>
          <w:rStyle w:val="FootnoteReference"/>
          <w:rFonts w:ascii="Times New Roman" w:hAnsi="Times New Roman"/>
        </w:rPr>
        <w:footnoteRef/>
      </w:r>
      <w:r w:rsidRPr="001A4989">
        <w:rPr>
          <w:rFonts w:ascii="Times New Roman" w:hAnsi="Times New Roman"/>
        </w:rPr>
        <w:t xml:space="preserve"> 47 CFR § 12.4(c)(3)(ii)(A).</w:t>
      </w:r>
    </w:p>
  </w:footnote>
  <w:footnote w:id="34">
    <w:p w:rsidR="0078487E" w:rsidRPr="00CD6CA4" w14:paraId="5C1D07DB" w14:textId="77777777">
      <w:pPr>
        <w:pStyle w:val="FootnoteText"/>
        <w:rPr>
          <w:rFonts w:ascii="Times New Roman" w:hAnsi="Times New Roman" w:cs="Times New Roman"/>
        </w:rPr>
      </w:pPr>
      <w:r w:rsidRPr="00CD6CA4">
        <w:rPr>
          <w:rStyle w:val="FootnoteReference"/>
          <w:rFonts w:ascii="Times New Roman" w:hAnsi="Times New Roman" w:cs="Times New Roman"/>
        </w:rPr>
        <w:footnoteRef/>
      </w:r>
      <w:r w:rsidRPr="00CD6CA4">
        <w:rPr>
          <w:rFonts w:ascii="Times New Roman" w:hAnsi="Times New Roman" w:cs="Times New Roman"/>
        </w:rPr>
        <w:t xml:space="preserve"> The Commission’s 911 reliability rules permit a covered entity to explain why the certification element is not applicable to its network, and therefore, certification is unnecessary.  Some covered entities indicated that the network monitoring certification element is not applicable to them because their service area is too small.  </w:t>
      </w:r>
      <w:r w:rsidRPr="00CD6CA4">
        <w:rPr>
          <w:rFonts w:ascii="Times New Roman" w:hAnsi="Times New Roman" w:cs="Times New Roman"/>
          <w:i/>
        </w:rPr>
        <w:t xml:space="preserve">See </w:t>
      </w:r>
      <w:r w:rsidRPr="00CD6CA4">
        <w:rPr>
          <w:rFonts w:ascii="Times New Roman" w:hAnsi="Times New Roman" w:cs="Times New Roman"/>
        </w:rPr>
        <w:t>47 CFR § 12.4(c)(3)(ii)(B).</w:t>
      </w:r>
    </w:p>
  </w:footnote>
  <w:footnote w:id="35">
    <w:p w:rsidR="0078487E" w:rsidRPr="00BB3492" w:rsidP="00AE1B46" w14:paraId="60C33E43" w14:textId="77777777">
      <w:pPr>
        <w:pStyle w:val="FootnoteText"/>
        <w:rPr>
          <w:rFonts w:ascii="Times New Roman" w:hAnsi="Times New Roman"/>
        </w:rPr>
      </w:pPr>
      <w:r w:rsidRPr="00BB3492">
        <w:rPr>
          <w:rStyle w:val="FootnoteReference"/>
          <w:rFonts w:ascii="Times New Roman" w:hAnsi="Times New Roman"/>
        </w:rPr>
        <w:footnoteRef/>
      </w:r>
      <w:r w:rsidRPr="00BB3492">
        <w:rPr>
          <w:rFonts w:ascii="Times New Roman" w:hAnsi="Times New Roman"/>
        </w:rPr>
        <w:t xml:space="preserve"> 47 CFR § 12.4(c)(3)(ii)(A), (B).</w:t>
      </w:r>
    </w:p>
  </w:footnote>
  <w:footnote w:id="36">
    <w:p w:rsidR="0078487E" w14:paraId="3D388B26" w14:textId="341ECE73">
      <w:pPr>
        <w:pStyle w:val="FootnoteText"/>
      </w:pPr>
      <w:r w:rsidRPr="003F0225">
        <w:rPr>
          <w:rStyle w:val="FootnoteReference"/>
          <w:rFonts w:ascii="Times New Roman" w:hAnsi="Times New Roman" w:cs="Times New Roman"/>
        </w:rPr>
        <w:footnoteRef/>
      </w:r>
      <w:r>
        <w:t xml:space="preserve"> </w:t>
      </w:r>
      <w:r>
        <w:rPr>
          <w:rFonts w:ascii="Times New Roman" w:hAnsi="Times New Roman" w:cs="Times New Roman"/>
        </w:rPr>
        <w:t>As reflected i</w:t>
      </w:r>
      <w:r w:rsidRPr="00E64223">
        <w:rPr>
          <w:rFonts w:ascii="Times New Roman" w:hAnsi="Times New Roman" w:cs="Times New Roman"/>
        </w:rPr>
        <w:t>n the table for “Overall Certification – Diverse Monitoring Results”</w:t>
      </w:r>
      <w:r w:rsidR="008C6B1E">
        <w:rPr>
          <w:rFonts w:ascii="Times New Roman" w:hAnsi="Times New Roman" w:cs="Times New Roman"/>
        </w:rPr>
        <w:t xml:space="preserve"> (Table 6</w:t>
      </w:r>
      <w:r>
        <w:rPr>
          <w:rFonts w:ascii="Times New Roman" w:hAnsi="Times New Roman" w:cs="Times New Roman"/>
        </w:rPr>
        <w:t>),</w:t>
      </w:r>
      <w:r w:rsidRPr="00E64223">
        <w:rPr>
          <w:rFonts w:ascii="Times New Roman" w:hAnsi="Times New Roman" w:cs="Times New Roman"/>
        </w:rPr>
        <w:t xml:space="preserve"> 17 covered entities stated they had alternate measure for some or all 911 Service Areas. </w:t>
      </w:r>
      <w:r>
        <w:rPr>
          <w:rFonts w:ascii="Times New Roman" w:hAnsi="Times New Roman" w:cs="Times New Roman"/>
        </w:rPr>
        <w:t xml:space="preserve"> </w:t>
      </w:r>
      <w:r w:rsidRPr="00E64223">
        <w:rPr>
          <w:rFonts w:ascii="Times New Roman" w:hAnsi="Times New Roman" w:cs="Times New Roman"/>
        </w:rPr>
        <w:t>However, two additional covered entities filed alternat</w:t>
      </w:r>
      <w:r>
        <w:rPr>
          <w:rFonts w:ascii="Times New Roman" w:hAnsi="Times New Roman" w:cs="Times New Roman"/>
        </w:rPr>
        <w:t>iv</w:t>
      </w:r>
      <w:r w:rsidRPr="00E64223">
        <w:rPr>
          <w:rFonts w:ascii="Times New Roman" w:hAnsi="Times New Roman" w:cs="Times New Roman"/>
        </w:rPr>
        <w:t>e measures reports even though they did not check the box for alternative measures.</w:t>
      </w:r>
    </w:p>
  </w:footnote>
  <w:footnote w:id="37">
    <w:p w:rsidR="0078487E" w:rsidRPr="00A07138" w:rsidP="00A07138" w14:paraId="34DBE0E2" w14:textId="6BBDFBCD">
      <w:pPr>
        <w:rPr>
          <w:rFonts w:ascii="Times New Roman" w:hAnsi="Times New Roman" w:cs="Times New Roman"/>
          <w:sz w:val="20"/>
          <w:szCs w:val="20"/>
        </w:rPr>
      </w:pPr>
      <w:r w:rsidRPr="00CD6CA4">
        <w:rPr>
          <w:rStyle w:val="FootnoteReference"/>
          <w:rFonts w:ascii="Times New Roman" w:hAnsi="Times New Roman" w:cs="Times New Roman"/>
          <w:sz w:val="20"/>
          <w:szCs w:val="20"/>
        </w:rPr>
        <w:footnoteRef/>
      </w:r>
      <w:r w:rsidRPr="00CD6CA4">
        <w:rPr>
          <w:rFonts w:ascii="Times New Roman" w:hAnsi="Times New Roman" w:cs="Times New Roman"/>
          <w:sz w:val="20"/>
          <w:szCs w:val="20"/>
        </w:rPr>
        <w:t xml:space="preserve"> </w:t>
      </w:r>
      <w:r w:rsidRPr="00CD6CA4">
        <w:rPr>
          <w:rFonts w:ascii="Times New Roman" w:hAnsi="Times New Roman" w:cs="Times New Roman"/>
          <w:i/>
          <w:iCs/>
          <w:sz w:val="20"/>
          <w:szCs w:val="20"/>
        </w:rPr>
        <w:t>See Improving 911 Reliability, Reliability and Continuity of Communications Networks, Including Broadband Technologies</w:t>
      </w:r>
      <w:r w:rsidRPr="00CD6CA4">
        <w:rPr>
          <w:rFonts w:ascii="Times New Roman" w:hAnsi="Times New Roman" w:cs="Times New Roman"/>
          <w:sz w:val="20"/>
          <w:szCs w:val="20"/>
        </w:rPr>
        <w:t>, Report and Order, 28 FCC Rcd 17476, 17533, para. 159 (2013) (committing to review the 911 reliability rules adopted in this Report and Order in 5 years “to determine whether they are still technologically appropriate and both adequate and necessary to ensure reliability and resiliency of 911 networks”).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FFA" w14:paraId="4DF5D9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FFA" w14:paraId="6BE3830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FFA" w14:paraId="6B6ADF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504E4"/>
    <w:multiLevelType w:val="hybridMultilevel"/>
    <w:tmpl w:val="A266BDCA"/>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
    <w:nsid w:val="1D4351F9"/>
    <w:multiLevelType w:val="hybridMultilevel"/>
    <w:tmpl w:val="FC16921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0A1CEF"/>
    <w:multiLevelType w:val="hybridMultilevel"/>
    <w:tmpl w:val="7A2E9866"/>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3">
    <w:nsid w:val="340E3B58"/>
    <w:multiLevelType w:val="hybridMultilevel"/>
    <w:tmpl w:val="D5B63E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8A23DE8"/>
    <w:multiLevelType w:val="hybridMultilevel"/>
    <w:tmpl w:val="3B28B5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E22C85"/>
    <w:multiLevelType w:val="hybridMultilevel"/>
    <w:tmpl w:val="3578BB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9D63B94"/>
    <w:multiLevelType w:val="hybridMultilevel"/>
    <w:tmpl w:val="AECA0B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1030037"/>
    <w:multiLevelType w:val="hybridMultilevel"/>
    <w:tmpl w:val="B40001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5F653AA"/>
    <w:multiLevelType w:val="hybridMultilevel"/>
    <w:tmpl w:val="C73CFF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FAF5EF7"/>
    <w:multiLevelType w:val="hybridMultilevel"/>
    <w:tmpl w:val="2E9C79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6C53387"/>
    <w:multiLevelType w:val="hybridMultilevel"/>
    <w:tmpl w:val="E7B23F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BE846CF"/>
    <w:multiLevelType w:val="hybridMultilevel"/>
    <w:tmpl w:val="747AEA68"/>
    <w:lvl w:ilvl="0">
      <w:start w:val="1"/>
      <w:numFmt w:val="decimal"/>
      <w:lvlText w:val="%1)"/>
      <w:lvlJc w:val="left"/>
      <w:pPr>
        <w:ind w:left="765" w:hanging="360"/>
      </w:pPr>
      <w:rPr>
        <w:rFonts w:hint="default"/>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num w:numId="1">
    <w:abstractNumId w:val="8"/>
  </w:num>
  <w:num w:numId="2">
    <w:abstractNumId w:val="3"/>
  </w:num>
  <w:num w:numId="3">
    <w:abstractNumId w:val="7"/>
  </w:num>
  <w:num w:numId="4">
    <w:abstractNumId w:val="2"/>
  </w:num>
  <w:num w:numId="5">
    <w:abstractNumId w:val="0"/>
  </w:num>
  <w:num w:numId="6">
    <w:abstractNumId w:val="5"/>
  </w:num>
  <w:num w:numId="7">
    <w:abstractNumId w:val="4"/>
  </w:num>
  <w:num w:numId="8">
    <w:abstractNumId w:val="6"/>
  </w:num>
  <w:num w:numId="9">
    <w:abstractNumId w:val="11"/>
  </w:num>
  <w:num w:numId="10">
    <w:abstractNumId w:val="1"/>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58"/>
    <w:rsid w:val="00000826"/>
    <w:rsid w:val="0000288B"/>
    <w:rsid w:val="00003FDC"/>
    <w:rsid w:val="00004649"/>
    <w:rsid w:val="00005C51"/>
    <w:rsid w:val="0000631F"/>
    <w:rsid w:val="00007C97"/>
    <w:rsid w:val="00011B56"/>
    <w:rsid w:val="00014DE8"/>
    <w:rsid w:val="0001529E"/>
    <w:rsid w:val="00022FE7"/>
    <w:rsid w:val="000255C3"/>
    <w:rsid w:val="00026772"/>
    <w:rsid w:val="000272E9"/>
    <w:rsid w:val="000278A5"/>
    <w:rsid w:val="0003045C"/>
    <w:rsid w:val="000310B2"/>
    <w:rsid w:val="000323E6"/>
    <w:rsid w:val="000327C9"/>
    <w:rsid w:val="000340A9"/>
    <w:rsid w:val="0003684D"/>
    <w:rsid w:val="00037CE3"/>
    <w:rsid w:val="00040EBC"/>
    <w:rsid w:val="0004269E"/>
    <w:rsid w:val="00042B4B"/>
    <w:rsid w:val="00043217"/>
    <w:rsid w:val="000506C7"/>
    <w:rsid w:val="000601C6"/>
    <w:rsid w:val="00062118"/>
    <w:rsid w:val="00064DDB"/>
    <w:rsid w:val="00071316"/>
    <w:rsid w:val="000722CB"/>
    <w:rsid w:val="00073086"/>
    <w:rsid w:val="000733AB"/>
    <w:rsid w:val="000755F0"/>
    <w:rsid w:val="00075BA4"/>
    <w:rsid w:val="00083051"/>
    <w:rsid w:val="000861A4"/>
    <w:rsid w:val="00087698"/>
    <w:rsid w:val="000876F8"/>
    <w:rsid w:val="00087867"/>
    <w:rsid w:val="00091ADB"/>
    <w:rsid w:val="00091C9D"/>
    <w:rsid w:val="00094A65"/>
    <w:rsid w:val="00095DBD"/>
    <w:rsid w:val="00095DDF"/>
    <w:rsid w:val="0009763B"/>
    <w:rsid w:val="000A1234"/>
    <w:rsid w:val="000A1E45"/>
    <w:rsid w:val="000A3054"/>
    <w:rsid w:val="000A3354"/>
    <w:rsid w:val="000A4714"/>
    <w:rsid w:val="000A7858"/>
    <w:rsid w:val="000A7B02"/>
    <w:rsid w:val="000B287D"/>
    <w:rsid w:val="000C0CA1"/>
    <w:rsid w:val="000C2329"/>
    <w:rsid w:val="000C363F"/>
    <w:rsid w:val="000C4CBA"/>
    <w:rsid w:val="000C58DA"/>
    <w:rsid w:val="000C69A5"/>
    <w:rsid w:val="000C73EC"/>
    <w:rsid w:val="000C752E"/>
    <w:rsid w:val="000C76FE"/>
    <w:rsid w:val="000C7993"/>
    <w:rsid w:val="000C799E"/>
    <w:rsid w:val="000D0559"/>
    <w:rsid w:val="000D1625"/>
    <w:rsid w:val="000D1A29"/>
    <w:rsid w:val="000D25CB"/>
    <w:rsid w:val="000D5DCE"/>
    <w:rsid w:val="000D61B6"/>
    <w:rsid w:val="000E1CF0"/>
    <w:rsid w:val="000E26B3"/>
    <w:rsid w:val="000E3E38"/>
    <w:rsid w:val="000E6528"/>
    <w:rsid w:val="000E6664"/>
    <w:rsid w:val="000E69C4"/>
    <w:rsid w:val="000E70C0"/>
    <w:rsid w:val="000F19D5"/>
    <w:rsid w:val="000F4B53"/>
    <w:rsid w:val="000F56EE"/>
    <w:rsid w:val="000F5BE8"/>
    <w:rsid w:val="000F62C2"/>
    <w:rsid w:val="000F6D6B"/>
    <w:rsid w:val="000F7023"/>
    <w:rsid w:val="00102F25"/>
    <w:rsid w:val="0010735C"/>
    <w:rsid w:val="00111C93"/>
    <w:rsid w:val="00114659"/>
    <w:rsid w:val="0011515B"/>
    <w:rsid w:val="001226A8"/>
    <w:rsid w:val="00123C8C"/>
    <w:rsid w:val="00125540"/>
    <w:rsid w:val="00130DB0"/>
    <w:rsid w:val="0013153B"/>
    <w:rsid w:val="00132F6E"/>
    <w:rsid w:val="00133085"/>
    <w:rsid w:val="0013319F"/>
    <w:rsid w:val="00134CA1"/>
    <w:rsid w:val="00135070"/>
    <w:rsid w:val="00135AC1"/>
    <w:rsid w:val="0013674D"/>
    <w:rsid w:val="00137D03"/>
    <w:rsid w:val="00137FB9"/>
    <w:rsid w:val="00140343"/>
    <w:rsid w:val="00141D46"/>
    <w:rsid w:val="00142CCB"/>
    <w:rsid w:val="00150CFF"/>
    <w:rsid w:val="001526D5"/>
    <w:rsid w:val="00154048"/>
    <w:rsid w:val="001546EA"/>
    <w:rsid w:val="00155E17"/>
    <w:rsid w:val="00157B9F"/>
    <w:rsid w:val="00160831"/>
    <w:rsid w:val="00160ADF"/>
    <w:rsid w:val="00160D60"/>
    <w:rsid w:val="00162E03"/>
    <w:rsid w:val="00162F8D"/>
    <w:rsid w:val="00163CA3"/>
    <w:rsid w:val="00164C10"/>
    <w:rsid w:val="00164D4D"/>
    <w:rsid w:val="00165226"/>
    <w:rsid w:val="00165A77"/>
    <w:rsid w:val="00167596"/>
    <w:rsid w:val="001767B2"/>
    <w:rsid w:val="00177399"/>
    <w:rsid w:val="001775A0"/>
    <w:rsid w:val="001775C2"/>
    <w:rsid w:val="00177D43"/>
    <w:rsid w:val="001840AC"/>
    <w:rsid w:val="00184817"/>
    <w:rsid w:val="00185AF7"/>
    <w:rsid w:val="001860B0"/>
    <w:rsid w:val="0019565E"/>
    <w:rsid w:val="0019619E"/>
    <w:rsid w:val="001971EA"/>
    <w:rsid w:val="001A30E6"/>
    <w:rsid w:val="001A4989"/>
    <w:rsid w:val="001B0825"/>
    <w:rsid w:val="001B58C0"/>
    <w:rsid w:val="001C0146"/>
    <w:rsid w:val="001D0142"/>
    <w:rsid w:val="001D218D"/>
    <w:rsid w:val="001D38FD"/>
    <w:rsid w:val="001D47B7"/>
    <w:rsid w:val="001D75FE"/>
    <w:rsid w:val="001E0133"/>
    <w:rsid w:val="001E0174"/>
    <w:rsid w:val="001E0837"/>
    <w:rsid w:val="001E3069"/>
    <w:rsid w:val="001E3332"/>
    <w:rsid w:val="001E340A"/>
    <w:rsid w:val="001E400B"/>
    <w:rsid w:val="001E5429"/>
    <w:rsid w:val="001E771F"/>
    <w:rsid w:val="001F3363"/>
    <w:rsid w:val="001F5A10"/>
    <w:rsid w:val="001F7CE6"/>
    <w:rsid w:val="00204D96"/>
    <w:rsid w:val="00210E2C"/>
    <w:rsid w:val="00212515"/>
    <w:rsid w:val="00212FFA"/>
    <w:rsid w:val="002171A3"/>
    <w:rsid w:val="0022058B"/>
    <w:rsid w:val="00222B74"/>
    <w:rsid w:val="002244E6"/>
    <w:rsid w:val="00224CCD"/>
    <w:rsid w:val="00227AE1"/>
    <w:rsid w:val="00231618"/>
    <w:rsid w:val="0023344B"/>
    <w:rsid w:val="002352E4"/>
    <w:rsid w:val="0023670C"/>
    <w:rsid w:val="00241C75"/>
    <w:rsid w:val="00243730"/>
    <w:rsid w:val="00243F6D"/>
    <w:rsid w:val="002446C5"/>
    <w:rsid w:val="00245785"/>
    <w:rsid w:val="00245929"/>
    <w:rsid w:val="00247C10"/>
    <w:rsid w:val="0025038B"/>
    <w:rsid w:val="00250437"/>
    <w:rsid w:val="002561EE"/>
    <w:rsid w:val="002562C0"/>
    <w:rsid w:val="00256D23"/>
    <w:rsid w:val="00263F4D"/>
    <w:rsid w:val="002654FA"/>
    <w:rsid w:val="00265C69"/>
    <w:rsid w:val="00266185"/>
    <w:rsid w:val="00266805"/>
    <w:rsid w:val="00266E54"/>
    <w:rsid w:val="00270DD0"/>
    <w:rsid w:val="00274FD1"/>
    <w:rsid w:val="0027543C"/>
    <w:rsid w:val="00276CB7"/>
    <w:rsid w:val="00276D9C"/>
    <w:rsid w:val="00280DBB"/>
    <w:rsid w:val="0028351D"/>
    <w:rsid w:val="00291F7E"/>
    <w:rsid w:val="00293C1C"/>
    <w:rsid w:val="00295F7F"/>
    <w:rsid w:val="00296D1D"/>
    <w:rsid w:val="002A00C3"/>
    <w:rsid w:val="002A0D5E"/>
    <w:rsid w:val="002A2599"/>
    <w:rsid w:val="002A651B"/>
    <w:rsid w:val="002B1187"/>
    <w:rsid w:val="002B3969"/>
    <w:rsid w:val="002B630F"/>
    <w:rsid w:val="002B6762"/>
    <w:rsid w:val="002C1503"/>
    <w:rsid w:val="002C1F10"/>
    <w:rsid w:val="002C4A91"/>
    <w:rsid w:val="002C4ED7"/>
    <w:rsid w:val="002C640D"/>
    <w:rsid w:val="002C7956"/>
    <w:rsid w:val="002D293E"/>
    <w:rsid w:val="002D2BAC"/>
    <w:rsid w:val="002D663F"/>
    <w:rsid w:val="002D752F"/>
    <w:rsid w:val="002E03B8"/>
    <w:rsid w:val="002E32C4"/>
    <w:rsid w:val="002E3F23"/>
    <w:rsid w:val="002E5213"/>
    <w:rsid w:val="002F2C0B"/>
    <w:rsid w:val="002F61BA"/>
    <w:rsid w:val="002F6EE0"/>
    <w:rsid w:val="002F737E"/>
    <w:rsid w:val="002F7D3D"/>
    <w:rsid w:val="002F7E63"/>
    <w:rsid w:val="003041E3"/>
    <w:rsid w:val="00305F80"/>
    <w:rsid w:val="0031016E"/>
    <w:rsid w:val="00310957"/>
    <w:rsid w:val="003114F9"/>
    <w:rsid w:val="00314988"/>
    <w:rsid w:val="0031529B"/>
    <w:rsid w:val="00315D7D"/>
    <w:rsid w:val="00316B99"/>
    <w:rsid w:val="00321EEB"/>
    <w:rsid w:val="00323463"/>
    <w:rsid w:val="003251F7"/>
    <w:rsid w:val="00326812"/>
    <w:rsid w:val="00326CE6"/>
    <w:rsid w:val="00332C35"/>
    <w:rsid w:val="00334538"/>
    <w:rsid w:val="003352D5"/>
    <w:rsid w:val="003359EB"/>
    <w:rsid w:val="00347CEE"/>
    <w:rsid w:val="00350019"/>
    <w:rsid w:val="00350069"/>
    <w:rsid w:val="00350892"/>
    <w:rsid w:val="0035167E"/>
    <w:rsid w:val="00355D1F"/>
    <w:rsid w:val="00355DB0"/>
    <w:rsid w:val="00357268"/>
    <w:rsid w:val="00357ED3"/>
    <w:rsid w:val="0036091B"/>
    <w:rsid w:val="0036231F"/>
    <w:rsid w:val="003623AD"/>
    <w:rsid w:val="003634DE"/>
    <w:rsid w:val="00365122"/>
    <w:rsid w:val="0036630B"/>
    <w:rsid w:val="0037017A"/>
    <w:rsid w:val="00376B24"/>
    <w:rsid w:val="00377AC4"/>
    <w:rsid w:val="00377B3C"/>
    <w:rsid w:val="00377D8E"/>
    <w:rsid w:val="00380927"/>
    <w:rsid w:val="00381805"/>
    <w:rsid w:val="0038341B"/>
    <w:rsid w:val="00383FF1"/>
    <w:rsid w:val="00384D96"/>
    <w:rsid w:val="003860B2"/>
    <w:rsid w:val="00387A5E"/>
    <w:rsid w:val="00387E33"/>
    <w:rsid w:val="00392053"/>
    <w:rsid w:val="0039322F"/>
    <w:rsid w:val="00396C1E"/>
    <w:rsid w:val="00397BB8"/>
    <w:rsid w:val="003A0F17"/>
    <w:rsid w:val="003A3187"/>
    <w:rsid w:val="003A4F98"/>
    <w:rsid w:val="003B12EB"/>
    <w:rsid w:val="003B154C"/>
    <w:rsid w:val="003B2199"/>
    <w:rsid w:val="003B24E0"/>
    <w:rsid w:val="003B2A61"/>
    <w:rsid w:val="003B2BB5"/>
    <w:rsid w:val="003B49CC"/>
    <w:rsid w:val="003B50CF"/>
    <w:rsid w:val="003C12EB"/>
    <w:rsid w:val="003C161F"/>
    <w:rsid w:val="003C3D21"/>
    <w:rsid w:val="003C42AF"/>
    <w:rsid w:val="003C4580"/>
    <w:rsid w:val="003C4616"/>
    <w:rsid w:val="003C497F"/>
    <w:rsid w:val="003C5E2A"/>
    <w:rsid w:val="003C61DB"/>
    <w:rsid w:val="003C6858"/>
    <w:rsid w:val="003C71AE"/>
    <w:rsid w:val="003C7550"/>
    <w:rsid w:val="003C7625"/>
    <w:rsid w:val="003D39F1"/>
    <w:rsid w:val="003D5F10"/>
    <w:rsid w:val="003E680C"/>
    <w:rsid w:val="003F0225"/>
    <w:rsid w:val="003F0E1E"/>
    <w:rsid w:val="003F37BF"/>
    <w:rsid w:val="003F38FF"/>
    <w:rsid w:val="003F3B87"/>
    <w:rsid w:val="003F5F77"/>
    <w:rsid w:val="00401EA6"/>
    <w:rsid w:val="00402812"/>
    <w:rsid w:val="00403DB7"/>
    <w:rsid w:val="004040F4"/>
    <w:rsid w:val="00405814"/>
    <w:rsid w:val="00407CAD"/>
    <w:rsid w:val="00417648"/>
    <w:rsid w:val="00417933"/>
    <w:rsid w:val="004211D0"/>
    <w:rsid w:val="00421B9E"/>
    <w:rsid w:val="004247C8"/>
    <w:rsid w:val="004253D6"/>
    <w:rsid w:val="00425D1D"/>
    <w:rsid w:val="004272B6"/>
    <w:rsid w:val="00431905"/>
    <w:rsid w:val="00432F5C"/>
    <w:rsid w:val="00443F00"/>
    <w:rsid w:val="004466D0"/>
    <w:rsid w:val="00451FBC"/>
    <w:rsid w:val="0046576C"/>
    <w:rsid w:val="00466288"/>
    <w:rsid w:val="00470BE0"/>
    <w:rsid w:val="00471F22"/>
    <w:rsid w:val="004772BB"/>
    <w:rsid w:val="004804FE"/>
    <w:rsid w:val="00482289"/>
    <w:rsid w:val="0048265F"/>
    <w:rsid w:val="00482E28"/>
    <w:rsid w:val="00491AA6"/>
    <w:rsid w:val="00491D03"/>
    <w:rsid w:val="00496049"/>
    <w:rsid w:val="00497CF9"/>
    <w:rsid w:val="004A1240"/>
    <w:rsid w:val="004A489D"/>
    <w:rsid w:val="004A727B"/>
    <w:rsid w:val="004B0312"/>
    <w:rsid w:val="004B1B92"/>
    <w:rsid w:val="004B20DB"/>
    <w:rsid w:val="004B4683"/>
    <w:rsid w:val="004B533D"/>
    <w:rsid w:val="004B5EA1"/>
    <w:rsid w:val="004B6D7A"/>
    <w:rsid w:val="004C4F84"/>
    <w:rsid w:val="004C5FE0"/>
    <w:rsid w:val="004C60D5"/>
    <w:rsid w:val="004D27AC"/>
    <w:rsid w:val="004D3A3A"/>
    <w:rsid w:val="004D723A"/>
    <w:rsid w:val="004D76A7"/>
    <w:rsid w:val="004E16CA"/>
    <w:rsid w:val="004E2A82"/>
    <w:rsid w:val="004E6417"/>
    <w:rsid w:val="004E6507"/>
    <w:rsid w:val="004E7832"/>
    <w:rsid w:val="004F22AA"/>
    <w:rsid w:val="004F3C01"/>
    <w:rsid w:val="00504E3E"/>
    <w:rsid w:val="00505394"/>
    <w:rsid w:val="00512453"/>
    <w:rsid w:val="005166EE"/>
    <w:rsid w:val="00516C06"/>
    <w:rsid w:val="00520BC2"/>
    <w:rsid w:val="00523660"/>
    <w:rsid w:val="005256AD"/>
    <w:rsid w:val="00527D6C"/>
    <w:rsid w:val="0053046B"/>
    <w:rsid w:val="00531D97"/>
    <w:rsid w:val="00532ED9"/>
    <w:rsid w:val="00533853"/>
    <w:rsid w:val="00540341"/>
    <w:rsid w:val="00541093"/>
    <w:rsid w:val="00541930"/>
    <w:rsid w:val="005422AC"/>
    <w:rsid w:val="0054351F"/>
    <w:rsid w:val="00544963"/>
    <w:rsid w:val="00544ABB"/>
    <w:rsid w:val="00545680"/>
    <w:rsid w:val="005527D0"/>
    <w:rsid w:val="00553BA6"/>
    <w:rsid w:val="00553C06"/>
    <w:rsid w:val="0055488E"/>
    <w:rsid w:val="00555775"/>
    <w:rsid w:val="00561035"/>
    <w:rsid w:val="00562F40"/>
    <w:rsid w:val="005633AC"/>
    <w:rsid w:val="00564EA6"/>
    <w:rsid w:val="00566173"/>
    <w:rsid w:val="005713BF"/>
    <w:rsid w:val="00572D43"/>
    <w:rsid w:val="0057344F"/>
    <w:rsid w:val="005744A3"/>
    <w:rsid w:val="00580981"/>
    <w:rsid w:val="0058108B"/>
    <w:rsid w:val="00582548"/>
    <w:rsid w:val="00586B74"/>
    <w:rsid w:val="005933B3"/>
    <w:rsid w:val="0059405B"/>
    <w:rsid w:val="0059450E"/>
    <w:rsid w:val="00597437"/>
    <w:rsid w:val="005A615F"/>
    <w:rsid w:val="005A76BA"/>
    <w:rsid w:val="005B6D6F"/>
    <w:rsid w:val="005B6E91"/>
    <w:rsid w:val="005B7150"/>
    <w:rsid w:val="005C62DD"/>
    <w:rsid w:val="005C6727"/>
    <w:rsid w:val="005D1E56"/>
    <w:rsid w:val="005D35C2"/>
    <w:rsid w:val="005D3BB6"/>
    <w:rsid w:val="005D4DCC"/>
    <w:rsid w:val="005D54D1"/>
    <w:rsid w:val="005E0794"/>
    <w:rsid w:val="005E07FB"/>
    <w:rsid w:val="005E156F"/>
    <w:rsid w:val="005E33E8"/>
    <w:rsid w:val="005E7849"/>
    <w:rsid w:val="005E7BBE"/>
    <w:rsid w:val="005F0D8E"/>
    <w:rsid w:val="005F2004"/>
    <w:rsid w:val="005F448E"/>
    <w:rsid w:val="005F68F8"/>
    <w:rsid w:val="00604F23"/>
    <w:rsid w:val="00610C1F"/>
    <w:rsid w:val="00611578"/>
    <w:rsid w:val="006160CB"/>
    <w:rsid w:val="00616DB1"/>
    <w:rsid w:val="00617B18"/>
    <w:rsid w:val="00620BCA"/>
    <w:rsid w:val="00624D13"/>
    <w:rsid w:val="006314F6"/>
    <w:rsid w:val="006315BE"/>
    <w:rsid w:val="0063727B"/>
    <w:rsid w:val="006437DB"/>
    <w:rsid w:val="00646994"/>
    <w:rsid w:val="006501CF"/>
    <w:rsid w:val="0065349B"/>
    <w:rsid w:val="00653C1E"/>
    <w:rsid w:val="00654D2B"/>
    <w:rsid w:val="00657225"/>
    <w:rsid w:val="00662596"/>
    <w:rsid w:val="0066442A"/>
    <w:rsid w:val="00665982"/>
    <w:rsid w:val="0066678B"/>
    <w:rsid w:val="00666B9C"/>
    <w:rsid w:val="0067174C"/>
    <w:rsid w:val="00672F21"/>
    <w:rsid w:val="0068180F"/>
    <w:rsid w:val="00684CC1"/>
    <w:rsid w:val="006853DB"/>
    <w:rsid w:val="0069097E"/>
    <w:rsid w:val="006943F2"/>
    <w:rsid w:val="00694E5D"/>
    <w:rsid w:val="00695723"/>
    <w:rsid w:val="0069628F"/>
    <w:rsid w:val="006A0917"/>
    <w:rsid w:val="006A34E4"/>
    <w:rsid w:val="006A36EB"/>
    <w:rsid w:val="006A3FEF"/>
    <w:rsid w:val="006A6E37"/>
    <w:rsid w:val="006B05CF"/>
    <w:rsid w:val="006B08A3"/>
    <w:rsid w:val="006B4F9C"/>
    <w:rsid w:val="006B6F51"/>
    <w:rsid w:val="006B778E"/>
    <w:rsid w:val="006C247A"/>
    <w:rsid w:val="006D51AD"/>
    <w:rsid w:val="006D6136"/>
    <w:rsid w:val="006E0AAC"/>
    <w:rsid w:val="006E0F98"/>
    <w:rsid w:val="006E2766"/>
    <w:rsid w:val="006E47E7"/>
    <w:rsid w:val="006E705C"/>
    <w:rsid w:val="006F2826"/>
    <w:rsid w:val="006F29B7"/>
    <w:rsid w:val="006F2E1F"/>
    <w:rsid w:val="006F6222"/>
    <w:rsid w:val="006F671A"/>
    <w:rsid w:val="00702A99"/>
    <w:rsid w:val="007035B9"/>
    <w:rsid w:val="00703A25"/>
    <w:rsid w:val="00710FA5"/>
    <w:rsid w:val="007138C2"/>
    <w:rsid w:val="0071459D"/>
    <w:rsid w:val="00723CE0"/>
    <w:rsid w:val="007266C4"/>
    <w:rsid w:val="00726A54"/>
    <w:rsid w:val="00727FC3"/>
    <w:rsid w:val="00731C1C"/>
    <w:rsid w:val="007456C6"/>
    <w:rsid w:val="007472F2"/>
    <w:rsid w:val="0074750D"/>
    <w:rsid w:val="00753C05"/>
    <w:rsid w:val="007654E8"/>
    <w:rsid w:val="00766F62"/>
    <w:rsid w:val="00767702"/>
    <w:rsid w:val="00772C4E"/>
    <w:rsid w:val="00772C6D"/>
    <w:rsid w:val="007769EC"/>
    <w:rsid w:val="00782E0A"/>
    <w:rsid w:val="0078487E"/>
    <w:rsid w:val="00785CA5"/>
    <w:rsid w:val="00786012"/>
    <w:rsid w:val="00787B22"/>
    <w:rsid w:val="00790C0C"/>
    <w:rsid w:val="00791B07"/>
    <w:rsid w:val="00793A38"/>
    <w:rsid w:val="00795275"/>
    <w:rsid w:val="007A0576"/>
    <w:rsid w:val="007A07D4"/>
    <w:rsid w:val="007A7C3F"/>
    <w:rsid w:val="007B0D63"/>
    <w:rsid w:val="007B2485"/>
    <w:rsid w:val="007B2F20"/>
    <w:rsid w:val="007B2FEF"/>
    <w:rsid w:val="007B3E4C"/>
    <w:rsid w:val="007B678C"/>
    <w:rsid w:val="007C1169"/>
    <w:rsid w:val="007C438A"/>
    <w:rsid w:val="007C7CB8"/>
    <w:rsid w:val="007D13FF"/>
    <w:rsid w:val="007D3F5B"/>
    <w:rsid w:val="007D4758"/>
    <w:rsid w:val="007D6D6F"/>
    <w:rsid w:val="007D7056"/>
    <w:rsid w:val="007E105A"/>
    <w:rsid w:val="007E1F1E"/>
    <w:rsid w:val="007E523D"/>
    <w:rsid w:val="007E7F4E"/>
    <w:rsid w:val="007F37BC"/>
    <w:rsid w:val="007F4EB1"/>
    <w:rsid w:val="007F61DC"/>
    <w:rsid w:val="00807336"/>
    <w:rsid w:val="00815092"/>
    <w:rsid w:val="00817381"/>
    <w:rsid w:val="00821DBE"/>
    <w:rsid w:val="00823081"/>
    <w:rsid w:val="0082382E"/>
    <w:rsid w:val="00823A1C"/>
    <w:rsid w:val="00826601"/>
    <w:rsid w:val="00826677"/>
    <w:rsid w:val="008322E3"/>
    <w:rsid w:val="0084016B"/>
    <w:rsid w:val="0084200E"/>
    <w:rsid w:val="00846985"/>
    <w:rsid w:val="00847988"/>
    <w:rsid w:val="008559EE"/>
    <w:rsid w:val="0085736E"/>
    <w:rsid w:val="008607BD"/>
    <w:rsid w:val="00870657"/>
    <w:rsid w:val="008723A3"/>
    <w:rsid w:val="0087561B"/>
    <w:rsid w:val="00876E90"/>
    <w:rsid w:val="00881F64"/>
    <w:rsid w:val="00887FED"/>
    <w:rsid w:val="008928DA"/>
    <w:rsid w:val="00892969"/>
    <w:rsid w:val="008A04C6"/>
    <w:rsid w:val="008A0BBC"/>
    <w:rsid w:val="008A1D27"/>
    <w:rsid w:val="008A238B"/>
    <w:rsid w:val="008A6951"/>
    <w:rsid w:val="008A732B"/>
    <w:rsid w:val="008A7B00"/>
    <w:rsid w:val="008B1B81"/>
    <w:rsid w:val="008B3D2C"/>
    <w:rsid w:val="008B4AAC"/>
    <w:rsid w:val="008B7ECB"/>
    <w:rsid w:val="008C1564"/>
    <w:rsid w:val="008C22D4"/>
    <w:rsid w:val="008C4278"/>
    <w:rsid w:val="008C5206"/>
    <w:rsid w:val="008C6B1E"/>
    <w:rsid w:val="008C7B9F"/>
    <w:rsid w:val="008D0258"/>
    <w:rsid w:val="008D213E"/>
    <w:rsid w:val="008D5064"/>
    <w:rsid w:val="008D5B9B"/>
    <w:rsid w:val="008D5D98"/>
    <w:rsid w:val="008E0018"/>
    <w:rsid w:val="008E03CE"/>
    <w:rsid w:val="008E0CB6"/>
    <w:rsid w:val="008E7BD8"/>
    <w:rsid w:val="008F0295"/>
    <w:rsid w:val="008F0AC0"/>
    <w:rsid w:val="008F0F48"/>
    <w:rsid w:val="008F11DB"/>
    <w:rsid w:val="008F3DE6"/>
    <w:rsid w:val="008F518C"/>
    <w:rsid w:val="008F5EA5"/>
    <w:rsid w:val="00903022"/>
    <w:rsid w:val="00903E75"/>
    <w:rsid w:val="009102AC"/>
    <w:rsid w:val="00913139"/>
    <w:rsid w:val="00914028"/>
    <w:rsid w:val="00917C30"/>
    <w:rsid w:val="00920323"/>
    <w:rsid w:val="009240C5"/>
    <w:rsid w:val="00924204"/>
    <w:rsid w:val="009243BD"/>
    <w:rsid w:val="00925814"/>
    <w:rsid w:val="00927AC6"/>
    <w:rsid w:val="00930E2E"/>
    <w:rsid w:val="00933CDE"/>
    <w:rsid w:val="0093660B"/>
    <w:rsid w:val="009465AF"/>
    <w:rsid w:val="00951763"/>
    <w:rsid w:val="00952C7F"/>
    <w:rsid w:val="0095428C"/>
    <w:rsid w:val="00956132"/>
    <w:rsid w:val="0095742F"/>
    <w:rsid w:val="00960BBE"/>
    <w:rsid w:val="00962046"/>
    <w:rsid w:val="00964A19"/>
    <w:rsid w:val="009659FF"/>
    <w:rsid w:val="009662BB"/>
    <w:rsid w:val="00970881"/>
    <w:rsid w:val="009722FE"/>
    <w:rsid w:val="0097609F"/>
    <w:rsid w:val="00981355"/>
    <w:rsid w:val="00981496"/>
    <w:rsid w:val="00983015"/>
    <w:rsid w:val="00984E76"/>
    <w:rsid w:val="009860BF"/>
    <w:rsid w:val="00987E22"/>
    <w:rsid w:val="009906E4"/>
    <w:rsid w:val="00990AA1"/>
    <w:rsid w:val="00991165"/>
    <w:rsid w:val="00992BD5"/>
    <w:rsid w:val="00993255"/>
    <w:rsid w:val="00994AC7"/>
    <w:rsid w:val="009957C6"/>
    <w:rsid w:val="009A0E06"/>
    <w:rsid w:val="009A0EF4"/>
    <w:rsid w:val="009A2242"/>
    <w:rsid w:val="009A301E"/>
    <w:rsid w:val="009A59AA"/>
    <w:rsid w:val="009A762D"/>
    <w:rsid w:val="009A7DF1"/>
    <w:rsid w:val="009B0CBC"/>
    <w:rsid w:val="009B5802"/>
    <w:rsid w:val="009B63F4"/>
    <w:rsid w:val="009B7D26"/>
    <w:rsid w:val="009D009E"/>
    <w:rsid w:val="009D0462"/>
    <w:rsid w:val="009D05DE"/>
    <w:rsid w:val="009D15AA"/>
    <w:rsid w:val="009D378F"/>
    <w:rsid w:val="009D602B"/>
    <w:rsid w:val="009D7922"/>
    <w:rsid w:val="009E47DD"/>
    <w:rsid w:val="009E4ED0"/>
    <w:rsid w:val="009E57B0"/>
    <w:rsid w:val="009E7408"/>
    <w:rsid w:val="009E7D70"/>
    <w:rsid w:val="009F00B0"/>
    <w:rsid w:val="009F2F38"/>
    <w:rsid w:val="009F3904"/>
    <w:rsid w:val="009F4D25"/>
    <w:rsid w:val="009F5735"/>
    <w:rsid w:val="009F586F"/>
    <w:rsid w:val="009F5AC6"/>
    <w:rsid w:val="009F5E4C"/>
    <w:rsid w:val="00A01D9F"/>
    <w:rsid w:val="00A0524C"/>
    <w:rsid w:val="00A05272"/>
    <w:rsid w:val="00A07138"/>
    <w:rsid w:val="00A10FDE"/>
    <w:rsid w:val="00A1114C"/>
    <w:rsid w:val="00A13B38"/>
    <w:rsid w:val="00A15429"/>
    <w:rsid w:val="00A17316"/>
    <w:rsid w:val="00A24035"/>
    <w:rsid w:val="00A262CF"/>
    <w:rsid w:val="00A265A7"/>
    <w:rsid w:val="00A268CF"/>
    <w:rsid w:val="00A316D1"/>
    <w:rsid w:val="00A33289"/>
    <w:rsid w:val="00A33ED1"/>
    <w:rsid w:val="00A347B1"/>
    <w:rsid w:val="00A34CCD"/>
    <w:rsid w:val="00A3567E"/>
    <w:rsid w:val="00A358AE"/>
    <w:rsid w:val="00A36FB1"/>
    <w:rsid w:val="00A421B8"/>
    <w:rsid w:val="00A429AE"/>
    <w:rsid w:val="00A44FB7"/>
    <w:rsid w:val="00A45AB0"/>
    <w:rsid w:val="00A47DCD"/>
    <w:rsid w:val="00A53A4D"/>
    <w:rsid w:val="00A556F3"/>
    <w:rsid w:val="00A55BCE"/>
    <w:rsid w:val="00A578C0"/>
    <w:rsid w:val="00A6065A"/>
    <w:rsid w:val="00A6132D"/>
    <w:rsid w:val="00A61355"/>
    <w:rsid w:val="00A632FF"/>
    <w:rsid w:val="00A6366E"/>
    <w:rsid w:val="00A675BD"/>
    <w:rsid w:val="00A72594"/>
    <w:rsid w:val="00A735B3"/>
    <w:rsid w:val="00A73EC3"/>
    <w:rsid w:val="00A74D08"/>
    <w:rsid w:val="00A75FDA"/>
    <w:rsid w:val="00A76F76"/>
    <w:rsid w:val="00A83D26"/>
    <w:rsid w:val="00A84E86"/>
    <w:rsid w:val="00A85F04"/>
    <w:rsid w:val="00A8626B"/>
    <w:rsid w:val="00A9207F"/>
    <w:rsid w:val="00A92436"/>
    <w:rsid w:val="00A9251B"/>
    <w:rsid w:val="00A92A6C"/>
    <w:rsid w:val="00A92B74"/>
    <w:rsid w:val="00A94885"/>
    <w:rsid w:val="00A9674A"/>
    <w:rsid w:val="00A97DD1"/>
    <w:rsid w:val="00AA2D66"/>
    <w:rsid w:val="00AA5F48"/>
    <w:rsid w:val="00AB2FC7"/>
    <w:rsid w:val="00AB6EF5"/>
    <w:rsid w:val="00AC10C6"/>
    <w:rsid w:val="00AC1E2C"/>
    <w:rsid w:val="00AC2C4D"/>
    <w:rsid w:val="00AC4F4F"/>
    <w:rsid w:val="00AD0F35"/>
    <w:rsid w:val="00AD2ABE"/>
    <w:rsid w:val="00AD3350"/>
    <w:rsid w:val="00AD3FB5"/>
    <w:rsid w:val="00AD7896"/>
    <w:rsid w:val="00AE1201"/>
    <w:rsid w:val="00AE1B46"/>
    <w:rsid w:val="00AE545B"/>
    <w:rsid w:val="00AE5A72"/>
    <w:rsid w:val="00AF3432"/>
    <w:rsid w:val="00AF3A34"/>
    <w:rsid w:val="00AF407C"/>
    <w:rsid w:val="00AF487C"/>
    <w:rsid w:val="00B00289"/>
    <w:rsid w:val="00B00EAD"/>
    <w:rsid w:val="00B010A1"/>
    <w:rsid w:val="00B01127"/>
    <w:rsid w:val="00B014F0"/>
    <w:rsid w:val="00B01E9C"/>
    <w:rsid w:val="00B02BB8"/>
    <w:rsid w:val="00B03845"/>
    <w:rsid w:val="00B04CB6"/>
    <w:rsid w:val="00B071A3"/>
    <w:rsid w:val="00B07244"/>
    <w:rsid w:val="00B07FE4"/>
    <w:rsid w:val="00B10258"/>
    <w:rsid w:val="00B10684"/>
    <w:rsid w:val="00B13DBB"/>
    <w:rsid w:val="00B14459"/>
    <w:rsid w:val="00B207D9"/>
    <w:rsid w:val="00B22AEC"/>
    <w:rsid w:val="00B25BB8"/>
    <w:rsid w:val="00B25BBB"/>
    <w:rsid w:val="00B33F41"/>
    <w:rsid w:val="00B3518B"/>
    <w:rsid w:val="00B356B0"/>
    <w:rsid w:val="00B35D9B"/>
    <w:rsid w:val="00B362EB"/>
    <w:rsid w:val="00B36D3F"/>
    <w:rsid w:val="00B40B80"/>
    <w:rsid w:val="00B41509"/>
    <w:rsid w:val="00B519B3"/>
    <w:rsid w:val="00B563BD"/>
    <w:rsid w:val="00B564C3"/>
    <w:rsid w:val="00B603A9"/>
    <w:rsid w:val="00B609E4"/>
    <w:rsid w:val="00B6210B"/>
    <w:rsid w:val="00B62AE6"/>
    <w:rsid w:val="00B638CC"/>
    <w:rsid w:val="00B63EA1"/>
    <w:rsid w:val="00B64252"/>
    <w:rsid w:val="00B663A8"/>
    <w:rsid w:val="00B672AB"/>
    <w:rsid w:val="00B74110"/>
    <w:rsid w:val="00B74F9F"/>
    <w:rsid w:val="00B75D60"/>
    <w:rsid w:val="00B81BE0"/>
    <w:rsid w:val="00B828A2"/>
    <w:rsid w:val="00B834FE"/>
    <w:rsid w:val="00B848E5"/>
    <w:rsid w:val="00B86297"/>
    <w:rsid w:val="00B8681E"/>
    <w:rsid w:val="00B87C5D"/>
    <w:rsid w:val="00B92A36"/>
    <w:rsid w:val="00B9314B"/>
    <w:rsid w:val="00B9346F"/>
    <w:rsid w:val="00B967CA"/>
    <w:rsid w:val="00BB0155"/>
    <w:rsid w:val="00BB17A9"/>
    <w:rsid w:val="00BB3492"/>
    <w:rsid w:val="00BB4ABD"/>
    <w:rsid w:val="00BB4B9C"/>
    <w:rsid w:val="00BC075D"/>
    <w:rsid w:val="00BC18C1"/>
    <w:rsid w:val="00BC2829"/>
    <w:rsid w:val="00BC2BD1"/>
    <w:rsid w:val="00BC3B70"/>
    <w:rsid w:val="00BC445F"/>
    <w:rsid w:val="00BC4B32"/>
    <w:rsid w:val="00BC4BD9"/>
    <w:rsid w:val="00BC51C3"/>
    <w:rsid w:val="00BC5903"/>
    <w:rsid w:val="00BD3865"/>
    <w:rsid w:val="00BD4B6A"/>
    <w:rsid w:val="00BD5ED6"/>
    <w:rsid w:val="00BD7984"/>
    <w:rsid w:val="00BE22A3"/>
    <w:rsid w:val="00BE24CB"/>
    <w:rsid w:val="00BE2C0B"/>
    <w:rsid w:val="00BE4A27"/>
    <w:rsid w:val="00BE6C4C"/>
    <w:rsid w:val="00BF3011"/>
    <w:rsid w:val="00BF3507"/>
    <w:rsid w:val="00BF4BF8"/>
    <w:rsid w:val="00C0336D"/>
    <w:rsid w:val="00C04507"/>
    <w:rsid w:val="00C10BCE"/>
    <w:rsid w:val="00C125F8"/>
    <w:rsid w:val="00C15CE6"/>
    <w:rsid w:val="00C1682C"/>
    <w:rsid w:val="00C21799"/>
    <w:rsid w:val="00C245FF"/>
    <w:rsid w:val="00C24A09"/>
    <w:rsid w:val="00C32097"/>
    <w:rsid w:val="00C328C9"/>
    <w:rsid w:val="00C33CAE"/>
    <w:rsid w:val="00C351E9"/>
    <w:rsid w:val="00C359DD"/>
    <w:rsid w:val="00C37106"/>
    <w:rsid w:val="00C41B83"/>
    <w:rsid w:val="00C437A6"/>
    <w:rsid w:val="00C524F1"/>
    <w:rsid w:val="00C53E19"/>
    <w:rsid w:val="00C55547"/>
    <w:rsid w:val="00C631B6"/>
    <w:rsid w:val="00C645E6"/>
    <w:rsid w:val="00C648AE"/>
    <w:rsid w:val="00C657B7"/>
    <w:rsid w:val="00C66462"/>
    <w:rsid w:val="00C73F04"/>
    <w:rsid w:val="00C74B8C"/>
    <w:rsid w:val="00C7737B"/>
    <w:rsid w:val="00C80AE9"/>
    <w:rsid w:val="00C86044"/>
    <w:rsid w:val="00C87172"/>
    <w:rsid w:val="00C872FF"/>
    <w:rsid w:val="00C90CC4"/>
    <w:rsid w:val="00C93473"/>
    <w:rsid w:val="00C9361A"/>
    <w:rsid w:val="00C93DD0"/>
    <w:rsid w:val="00C97710"/>
    <w:rsid w:val="00CA333A"/>
    <w:rsid w:val="00CA33ED"/>
    <w:rsid w:val="00CA4E65"/>
    <w:rsid w:val="00CA7551"/>
    <w:rsid w:val="00CB0341"/>
    <w:rsid w:val="00CB1358"/>
    <w:rsid w:val="00CB1441"/>
    <w:rsid w:val="00CB1E94"/>
    <w:rsid w:val="00CB3E58"/>
    <w:rsid w:val="00CB56E0"/>
    <w:rsid w:val="00CB6557"/>
    <w:rsid w:val="00CB791A"/>
    <w:rsid w:val="00CC0DB7"/>
    <w:rsid w:val="00CC1160"/>
    <w:rsid w:val="00CC3D98"/>
    <w:rsid w:val="00CC4005"/>
    <w:rsid w:val="00CC5420"/>
    <w:rsid w:val="00CC605A"/>
    <w:rsid w:val="00CD0025"/>
    <w:rsid w:val="00CD1A8B"/>
    <w:rsid w:val="00CD21D0"/>
    <w:rsid w:val="00CD2DBA"/>
    <w:rsid w:val="00CD4ACD"/>
    <w:rsid w:val="00CD4E1F"/>
    <w:rsid w:val="00CD67AF"/>
    <w:rsid w:val="00CD6CA4"/>
    <w:rsid w:val="00CD77BB"/>
    <w:rsid w:val="00CE29D7"/>
    <w:rsid w:val="00CE369E"/>
    <w:rsid w:val="00CE48E5"/>
    <w:rsid w:val="00CE4D38"/>
    <w:rsid w:val="00CE547C"/>
    <w:rsid w:val="00CE74B7"/>
    <w:rsid w:val="00CF2218"/>
    <w:rsid w:val="00CF3126"/>
    <w:rsid w:val="00CF3404"/>
    <w:rsid w:val="00CF608A"/>
    <w:rsid w:val="00CF61F2"/>
    <w:rsid w:val="00D04EC3"/>
    <w:rsid w:val="00D05F26"/>
    <w:rsid w:val="00D106E5"/>
    <w:rsid w:val="00D10938"/>
    <w:rsid w:val="00D13270"/>
    <w:rsid w:val="00D13618"/>
    <w:rsid w:val="00D13817"/>
    <w:rsid w:val="00D14BB4"/>
    <w:rsid w:val="00D150FE"/>
    <w:rsid w:val="00D31C0F"/>
    <w:rsid w:val="00D3292B"/>
    <w:rsid w:val="00D33B0C"/>
    <w:rsid w:val="00D4302C"/>
    <w:rsid w:val="00D44A57"/>
    <w:rsid w:val="00D47B8B"/>
    <w:rsid w:val="00D604C7"/>
    <w:rsid w:val="00D61814"/>
    <w:rsid w:val="00D631FB"/>
    <w:rsid w:val="00D63224"/>
    <w:rsid w:val="00D646B6"/>
    <w:rsid w:val="00D65D97"/>
    <w:rsid w:val="00D665E6"/>
    <w:rsid w:val="00D6687A"/>
    <w:rsid w:val="00D701F0"/>
    <w:rsid w:val="00D70B95"/>
    <w:rsid w:val="00D71738"/>
    <w:rsid w:val="00D72AEF"/>
    <w:rsid w:val="00D72E97"/>
    <w:rsid w:val="00D74466"/>
    <w:rsid w:val="00D75B81"/>
    <w:rsid w:val="00D77BD9"/>
    <w:rsid w:val="00D801CF"/>
    <w:rsid w:val="00D81A67"/>
    <w:rsid w:val="00D82E5E"/>
    <w:rsid w:val="00D845B7"/>
    <w:rsid w:val="00D918E7"/>
    <w:rsid w:val="00D9467C"/>
    <w:rsid w:val="00DA0753"/>
    <w:rsid w:val="00DA1F97"/>
    <w:rsid w:val="00DA3CD7"/>
    <w:rsid w:val="00DA5D3B"/>
    <w:rsid w:val="00DA5E29"/>
    <w:rsid w:val="00DA60B5"/>
    <w:rsid w:val="00DB12BB"/>
    <w:rsid w:val="00DB4F7C"/>
    <w:rsid w:val="00DB7893"/>
    <w:rsid w:val="00DC2662"/>
    <w:rsid w:val="00DC7215"/>
    <w:rsid w:val="00DD0137"/>
    <w:rsid w:val="00DD1F43"/>
    <w:rsid w:val="00DD340F"/>
    <w:rsid w:val="00DD4382"/>
    <w:rsid w:val="00DD464D"/>
    <w:rsid w:val="00DD64D6"/>
    <w:rsid w:val="00DD7A0B"/>
    <w:rsid w:val="00DE2C61"/>
    <w:rsid w:val="00DE2F01"/>
    <w:rsid w:val="00DE4133"/>
    <w:rsid w:val="00DF29D5"/>
    <w:rsid w:val="00DF2BCC"/>
    <w:rsid w:val="00DF6048"/>
    <w:rsid w:val="00DF7DCF"/>
    <w:rsid w:val="00E0148A"/>
    <w:rsid w:val="00E02B1B"/>
    <w:rsid w:val="00E061A9"/>
    <w:rsid w:val="00E07621"/>
    <w:rsid w:val="00E13E8A"/>
    <w:rsid w:val="00E166B3"/>
    <w:rsid w:val="00E17350"/>
    <w:rsid w:val="00E20569"/>
    <w:rsid w:val="00E2581E"/>
    <w:rsid w:val="00E26DFB"/>
    <w:rsid w:val="00E30849"/>
    <w:rsid w:val="00E312E4"/>
    <w:rsid w:val="00E3143B"/>
    <w:rsid w:val="00E32884"/>
    <w:rsid w:val="00E32B60"/>
    <w:rsid w:val="00E42579"/>
    <w:rsid w:val="00E44AB4"/>
    <w:rsid w:val="00E458FE"/>
    <w:rsid w:val="00E47779"/>
    <w:rsid w:val="00E47C0F"/>
    <w:rsid w:val="00E508FC"/>
    <w:rsid w:val="00E51232"/>
    <w:rsid w:val="00E5306B"/>
    <w:rsid w:val="00E536E2"/>
    <w:rsid w:val="00E53D40"/>
    <w:rsid w:val="00E54001"/>
    <w:rsid w:val="00E54814"/>
    <w:rsid w:val="00E548DB"/>
    <w:rsid w:val="00E54EE9"/>
    <w:rsid w:val="00E604BC"/>
    <w:rsid w:val="00E6112F"/>
    <w:rsid w:val="00E64223"/>
    <w:rsid w:val="00E66F74"/>
    <w:rsid w:val="00E679D8"/>
    <w:rsid w:val="00E70F6E"/>
    <w:rsid w:val="00E80651"/>
    <w:rsid w:val="00E81820"/>
    <w:rsid w:val="00E82BC3"/>
    <w:rsid w:val="00E908FE"/>
    <w:rsid w:val="00E9117D"/>
    <w:rsid w:val="00E928F8"/>
    <w:rsid w:val="00E94AB6"/>
    <w:rsid w:val="00E95216"/>
    <w:rsid w:val="00E96139"/>
    <w:rsid w:val="00E97328"/>
    <w:rsid w:val="00EA44CC"/>
    <w:rsid w:val="00EA4D48"/>
    <w:rsid w:val="00EA7F66"/>
    <w:rsid w:val="00EB3A46"/>
    <w:rsid w:val="00EB5097"/>
    <w:rsid w:val="00EB535C"/>
    <w:rsid w:val="00EB601C"/>
    <w:rsid w:val="00EB6907"/>
    <w:rsid w:val="00EB75A8"/>
    <w:rsid w:val="00EB7A1B"/>
    <w:rsid w:val="00EB7E14"/>
    <w:rsid w:val="00EC02F6"/>
    <w:rsid w:val="00EC090C"/>
    <w:rsid w:val="00EC253A"/>
    <w:rsid w:val="00EC6D33"/>
    <w:rsid w:val="00EC7EE9"/>
    <w:rsid w:val="00ED0FC9"/>
    <w:rsid w:val="00ED4F19"/>
    <w:rsid w:val="00ED58CD"/>
    <w:rsid w:val="00ED7E3E"/>
    <w:rsid w:val="00EE53DB"/>
    <w:rsid w:val="00EF15EC"/>
    <w:rsid w:val="00EF2465"/>
    <w:rsid w:val="00EF701F"/>
    <w:rsid w:val="00EF74A0"/>
    <w:rsid w:val="00F00C9F"/>
    <w:rsid w:val="00F0254D"/>
    <w:rsid w:val="00F0369E"/>
    <w:rsid w:val="00F05094"/>
    <w:rsid w:val="00F0776D"/>
    <w:rsid w:val="00F12BC4"/>
    <w:rsid w:val="00F150E3"/>
    <w:rsid w:val="00F2333A"/>
    <w:rsid w:val="00F23F0A"/>
    <w:rsid w:val="00F308D5"/>
    <w:rsid w:val="00F30B5A"/>
    <w:rsid w:val="00F33749"/>
    <w:rsid w:val="00F33A8C"/>
    <w:rsid w:val="00F35530"/>
    <w:rsid w:val="00F35949"/>
    <w:rsid w:val="00F360CC"/>
    <w:rsid w:val="00F40949"/>
    <w:rsid w:val="00F42858"/>
    <w:rsid w:val="00F433FC"/>
    <w:rsid w:val="00F477EF"/>
    <w:rsid w:val="00F509C1"/>
    <w:rsid w:val="00F51A51"/>
    <w:rsid w:val="00F534A3"/>
    <w:rsid w:val="00F54A9D"/>
    <w:rsid w:val="00F605FC"/>
    <w:rsid w:val="00F63D85"/>
    <w:rsid w:val="00F65780"/>
    <w:rsid w:val="00F70A38"/>
    <w:rsid w:val="00F723D4"/>
    <w:rsid w:val="00F72A08"/>
    <w:rsid w:val="00F74FD5"/>
    <w:rsid w:val="00F779F5"/>
    <w:rsid w:val="00F806F5"/>
    <w:rsid w:val="00F84902"/>
    <w:rsid w:val="00F86DAD"/>
    <w:rsid w:val="00F90345"/>
    <w:rsid w:val="00F903AE"/>
    <w:rsid w:val="00F91D27"/>
    <w:rsid w:val="00F9280C"/>
    <w:rsid w:val="00F93B92"/>
    <w:rsid w:val="00F9651A"/>
    <w:rsid w:val="00F97747"/>
    <w:rsid w:val="00F97F73"/>
    <w:rsid w:val="00FA0A39"/>
    <w:rsid w:val="00FA251C"/>
    <w:rsid w:val="00FA3060"/>
    <w:rsid w:val="00FA42FF"/>
    <w:rsid w:val="00FA6FEE"/>
    <w:rsid w:val="00FA72E9"/>
    <w:rsid w:val="00FA7AFF"/>
    <w:rsid w:val="00FB1B1B"/>
    <w:rsid w:val="00FB347F"/>
    <w:rsid w:val="00FB3B3E"/>
    <w:rsid w:val="00FB621E"/>
    <w:rsid w:val="00FC2A63"/>
    <w:rsid w:val="00FC3DF8"/>
    <w:rsid w:val="00FC5D01"/>
    <w:rsid w:val="00FC70D9"/>
    <w:rsid w:val="00FD0749"/>
    <w:rsid w:val="00FD36D4"/>
    <w:rsid w:val="00FD48FB"/>
    <w:rsid w:val="00FD4DF4"/>
    <w:rsid w:val="00FD5529"/>
    <w:rsid w:val="00FE1E79"/>
    <w:rsid w:val="00FE36B9"/>
    <w:rsid w:val="00FE6609"/>
    <w:rsid w:val="00FE7DFC"/>
    <w:rsid w:val="00FF2AED"/>
    <w:rsid w:val="00FF41D0"/>
    <w:rsid w:val="00FF41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5C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6D7A"/>
    <w:pPr>
      <w:keepNext/>
      <w:keepLines/>
      <w:spacing w:before="2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6D6F"/>
    <w:pPr>
      <w:keepNext/>
      <w:keepLines/>
      <w:spacing w:before="240" w:after="1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81F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6D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6D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81F64"/>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005C5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05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C51"/>
  </w:style>
  <w:style w:type="paragraph" w:styleId="Footer">
    <w:name w:val="footer"/>
    <w:basedOn w:val="Normal"/>
    <w:link w:val="FooterChar"/>
    <w:uiPriority w:val="99"/>
    <w:unhideWhenUsed/>
    <w:rsid w:val="00005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C51"/>
  </w:style>
  <w:style w:type="paragraph" w:styleId="TOCHeading">
    <w:name w:val="TOC Heading"/>
    <w:basedOn w:val="Heading1"/>
    <w:next w:val="Normal"/>
    <w:uiPriority w:val="39"/>
    <w:unhideWhenUsed/>
    <w:qFormat/>
    <w:rsid w:val="00005C51"/>
    <w:pPr>
      <w:outlineLvl w:val="9"/>
    </w:pPr>
  </w:style>
  <w:style w:type="paragraph" w:styleId="TOC1">
    <w:name w:val="toc 1"/>
    <w:basedOn w:val="Normal"/>
    <w:next w:val="Normal"/>
    <w:autoRedefine/>
    <w:uiPriority w:val="39"/>
    <w:unhideWhenUsed/>
    <w:rsid w:val="00005C51"/>
    <w:pPr>
      <w:spacing w:after="100"/>
    </w:pPr>
  </w:style>
  <w:style w:type="paragraph" w:styleId="TOC2">
    <w:name w:val="toc 2"/>
    <w:basedOn w:val="Normal"/>
    <w:next w:val="Normal"/>
    <w:autoRedefine/>
    <w:uiPriority w:val="39"/>
    <w:unhideWhenUsed/>
    <w:rsid w:val="00005C51"/>
    <w:pPr>
      <w:spacing w:after="100"/>
      <w:ind w:left="220"/>
    </w:pPr>
  </w:style>
  <w:style w:type="paragraph" w:styleId="TOC3">
    <w:name w:val="toc 3"/>
    <w:basedOn w:val="Normal"/>
    <w:next w:val="Normal"/>
    <w:autoRedefine/>
    <w:uiPriority w:val="39"/>
    <w:unhideWhenUsed/>
    <w:rsid w:val="00005C51"/>
    <w:pPr>
      <w:spacing w:after="100"/>
      <w:ind w:left="440"/>
    </w:pPr>
  </w:style>
  <w:style w:type="character" w:styleId="Hyperlink">
    <w:name w:val="Hyperlink"/>
    <w:basedOn w:val="DefaultParagraphFont"/>
    <w:uiPriority w:val="99"/>
    <w:unhideWhenUsed/>
    <w:rsid w:val="00005C51"/>
    <w:rPr>
      <w:color w:val="0563C1" w:themeColor="hyperlink"/>
      <w:u w:val="single"/>
    </w:rPr>
  </w:style>
  <w:style w:type="paragraph" w:styleId="BalloonText">
    <w:name w:val="Balloon Text"/>
    <w:basedOn w:val="Normal"/>
    <w:link w:val="BalloonTextChar"/>
    <w:uiPriority w:val="99"/>
    <w:semiHidden/>
    <w:unhideWhenUsed/>
    <w:rsid w:val="008A7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B00"/>
    <w:rPr>
      <w:rFonts w:ascii="Tahoma" w:hAnsi="Tahoma" w:cs="Tahoma"/>
      <w:sz w:val="16"/>
      <w:szCs w:val="16"/>
    </w:rPr>
  </w:style>
  <w:style w:type="paragraph" w:styleId="FootnoteText">
    <w:name w:val="footnote text"/>
    <w:aliases w:val="ALTS FOOTNOTE,Footnote Text Char Char,Footnote Text Char Char Char Char Char Char,Footnote Text Char Char1 Char Char,Footnote Text Char1,Footnote Text Char1 Char Char,Footnote Text Char1 Char Char Char1 Char,Footnote Text Char2 Char Char,f"/>
    <w:basedOn w:val="Normal"/>
    <w:link w:val="FootnoteTextChar"/>
    <w:uiPriority w:val="99"/>
    <w:unhideWhenUsed/>
    <w:rsid w:val="00597437"/>
    <w:pPr>
      <w:spacing w:after="0" w:line="240" w:lineRule="auto"/>
    </w:pPr>
    <w:rPr>
      <w:sz w:val="20"/>
      <w:szCs w:val="20"/>
    </w:rPr>
  </w:style>
  <w:style w:type="character" w:customStyle="1" w:styleId="FootnoteTextChar">
    <w:name w:val="Footnote Text Char"/>
    <w:aliases w:val="Footnote Text Char Char Char,Footnote Text Char Char Char Char Char Char Char,Footnote Text Char Char1 Char Char Char,Footnote Text Char1 Char,Footnote Text Char1 Char Char Char1 Char Char,Footnote Text Char2 Char Char Char,f Char"/>
    <w:basedOn w:val="DefaultParagraphFont"/>
    <w:link w:val="FootnoteText"/>
    <w:uiPriority w:val="99"/>
    <w:rsid w:val="00597437"/>
    <w:rPr>
      <w:sz w:val="20"/>
      <w:szCs w:val="20"/>
    </w:rPr>
  </w:style>
  <w:style w:type="character" w:styleId="FootnoteReference">
    <w:name w:val="footnote reference"/>
    <w:aliases w:val="(NECG) Footnote Reference,Appel note de bas de p,FR,Footnote Reference/,Style 12,Style 124,Style 13,Style 17,Style 3,Style 6,fr,o"/>
    <w:basedOn w:val="DefaultParagraphFont"/>
    <w:uiPriority w:val="99"/>
    <w:unhideWhenUsed/>
    <w:rsid w:val="00597437"/>
    <w:rPr>
      <w:vertAlign w:val="superscript"/>
    </w:rPr>
  </w:style>
  <w:style w:type="character" w:styleId="CommentReference">
    <w:name w:val="annotation reference"/>
    <w:basedOn w:val="DefaultParagraphFont"/>
    <w:uiPriority w:val="99"/>
    <w:semiHidden/>
    <w:unhideWhenUsed/>
    <w:rsid w:val="00597437"/>
    <w:rPr>
      <w:sz w:val="16"/>
      <w:szCs w:val="16"/>
    </w:rPr>
  </w:style>
  <w:style w:type="paragraph" w:styleId="CommentText">
    <w:name w:val="annotation text"/>
    <w:basedOn w:val="Normal"/>
    <w:link w:val="CommentTextChar"/>
    <w:uiPriority w:val="99"/>
    <w:semiHidden/>
    <w:unhideWhenUsed/>
    <w:rsid w:val="00597437"/>
    <w:pPr>
      <w:spacing w:line="240" w:lineRule="auto"/>
    </w:pPr>
    <w:rPr>
      <w:sz w:val="20"/>
      <w:szCs w:val="20"/>
    </w:rPr>
  </w:style>
  <w:style w:type="character" w:customStyle="1" w:styleId="CommentTextChar">
    <w:name w:val="Comment Text Char"/>
    <w:basedOn w:val="DefaultParagraphFont"/>
    <w:link w:val="CommentText"/>
    <w:uiPriority w:val="99"/>
    <w:semiHidden/>
    <w:rsid w:val="00597437"/>
    <w:rPr>
      <w:sz w:val="20"/>
      <w:szCs w:val="20"/>
    </w:rPr>
  </w:style>
  <w:style w:type="paragraph" w:styleId="CommentSubject">
    <w:name w:val="annotation subject"/>
    <w:basedOn w:val="CommentText"/>
    <w:next w:val="CommentText"/>
    <w:link w:val="CommentSubjectChar"/>
    <w:uiPriority w:val="99"/>
    <w:semiHidden/>
    <w:unhideWhenUsed/>
    <w:rsid w:val="00597437"/>
    <w:rPr>
      <w:b/>
      <w:bCs/>
    </w:rPr>
  </w:style>
  <w:style w:type="character" w:customStyle="1" w:styleId="CommentSubjectChar">
    <w:name w:val="Comment Subject Char"/>
    <w:basedOn w:val="CommentTextChar"/>
    <w:link w:val="CommentSubject"/>
    <w:uiPriority w:val="99"/>
    <w:semiHidden/>
    <w:rsid w:val="00597437"/>
    <w:rPr>
      <w:b/>
      <w:bCs/>
      <w:sz w:val="20"/>
      <w:szCs w:val="20"/>
    </w:rPr>
  </w:style>
  <w:style w:type="paragraph" w:styleId="Caption">
    <w:name w:val="caption"/>
    <w:basedOn w:val="Normal"/>
    <w:next w:val="Normal"/>
    <w:uiPriority w:val="35"/>
    <w:unhideWhenUsed/>
    <w:qFormat/>
    <w:rsid w:val="00F30B5A"/>
    <w:pPr>
      <w:spacing w:before="120" w:after="200" w:line="240" w:lineRule="auto"/>
      <w:jc w:val="center"/>
    </w:pPr>
    <w:rPr>
      <w:i/>
      <w:iCs/>
      <w:color w:val="44546A" w:themeColor="text2"/>
      <w:sz w:val="18"/>
      <w:szCs w:val="18"/>
    </w:rPr>
  </w:style>
  <w:style w:type="paragraph" w:styleId="TableofFigures">
    <w:name w:val="table of figures"/>
    <w:basedOn w:val="Normal"/>
    <w:next w:val="Normal"/>
    <w:uiPriority w:val="99"/>
    <w:unhideWhenUsed/>
    <w:rsid w:val="00A24035"/>
    <w:pPr>
      <w:spacing w:after="0"/>
    </w:pPr>
  </w:style>
  <w:style w:type="paragraph" w:styleId="ListParagraph">
    <w:name w:val="List Paragraph"/>
    <w:basedOn w:val="Normal"/>
    <w:uiPriority w:val="34"/>
    <w:qFormat/>
    <w:rsid w:val="00FB347F"/>
    <w:pPr>
      <w:ind w:left="720"/>
      <w:contextualSpacing/>
    </w:pPr>
  </w:style>
  <w:style w:type="character" w:customStyle="1" w:styleId="apple-converted-space">
    <w:name w:val="apple-converted-space"/>
    <w:basedOn w:val="DefaultParagraphFont"/>
    <w:rsid w:val="00F9651A"/>
  </w:style>
  <w:style w:type="table" w:styleId="TableGrid">
    <w:name w:val="Table Grid"/>
    <w:basedOn w:val="TableNormal"/>
    <w:uiPriority w:val="39"/>
    <w:rsid w:val="00326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46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image" Target="media/image2.pn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oleObject" Target="embeddings/oleObject1.bin"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F2623-273F-479E-9A9C-76FFC1B4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2018-05-08T15:37:58Z</dcterms:created>
  <dcterms:modified xsi:type="dcterms:W3CDTF">2018-05-08T15:37:58Z</dcterms:modified>
</cp:coreProperties>
</file>