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81C9A" w:rsidRPr="005577AD" w:rsidP="00181C9A">
      <w:pPr>
        <w:jc w:val="center"/>
        <w:rPr>
          <w:b/>
          <w:bCs/>
          <w:caps/>
          <w:szCs w:val="22"/>
        </w:rPr>
      </w:pPr>
      <w:bookmarkStart w:id="0" w:name="_GoBack"/>
      <w:bookmarkEnd w:id="0"/>
      <w:r w:rsidRPr="005577AD">
        <w:rPr>
          <w:b/>
          <w:bCs/>
          <w:caps/>
          <w:szCs w:val="22"/>
        </w:rPr>
        <w:t>Statement of</w:t>
      </w:r>
    </w:p>
    <w:p w:rsidR="00181C9A" w:rsidRPr="005577AD" w:rsidP="00181C9A">
      <w:pPr>
        <w:jc w:val="center"/>
        <w:rPr>
          <w:b/>
          <w:bCs/>
          <w:caps/>
          <w:szCs w:val="22"/>
        </w:rPr>
      </w:pPr>
      <w:r>
        <w:rPr>
          <w:b/>
          <w:bCs/>
          <w:caps/>
          <w:szCs w:val="22"/>
        </w:rPr>
        <w:t>chairman ajit pai</w:t>
      </w:r>
    </w:p>
    <w:p w:rsidR="00181C9A" w:rsidRPr="005577AD" w:rsidP="00181C9A">
      <w:pPr>
        <w:jc w:val="center"/>
        <w:rPr>
          <w:b/>
          <w:bCs/>
          <w:caps/>
          <w:szCs w:val="22"/>
        </w:rPr>
      </w:pPr>
    </w:p>
    <w:p w:rsidR="00181C9A" w:rsidRPr="00540398" w:rsidP="00540398">
      <w:pPr>
        <w:widowControl/>
        <w:suppressAutoHyphens/>
        <w:ind w:left="720" w:hanging="720"/>
        <w:rPr>
          <w:rFonts w:eastAsia="Calibri"/>
          <w:snapToGrid/>
          <w:spacing w:val="-2"/>
          <w:kern w:val="0"/>
          <w:szCs w:val="22"/>
        </w:rPr>
      </w:pPr>
      <w:r w:rsidRPr="005577AD">
        <w:rPr>
          <w:iCs/>
          <w:szCs w:val="22"/>
        </w:rPr>
        <w:t>Re:</w:t>
      </w:r>
      <w:r w:rsidR="007A374F">
        <w:rPr>
          <w:szCs w:val="22"/>
        </w:rPr>
        <w:tab/>
      </w:r>
      <w:r w:rsidRPr="00540398" w:rsidR="00540398">
        <w:rPr>
          <w:rFonts w:eastAsia="Calibri"/>
          <w:i/>
          <w:snapToGrid/>
          <w:spacing w:val="-2"/>
          <w:kern w:val="0"/>
          <w:szCs w:val="22"/>
        </w:rPr>
        <w:t>Amendment of Parts 0, 1, 5, 73, and 74 of the Commission’s Rules Regarding Posting of Station Licenses and Related Information</w:t>
      </w:r>
      <w:r w:rsidRPr="00062036">
        <w:rPr>
          <w:i/>
          <w:szCs w:val="22"/>
        </w:rPr>
        <w:t>,</w:t>
      </w:r>
      <w:r w:rsidRPr="00062036">
        <w:rPr>
          <w:szCs w:val="22"/>
        </w:rPr>
        <w:t xml:space="preserve"> </w:t>
      </w:r>
      <w:r w:rsidR="007A374F">
        <w:rPr>
          <w:szCs w:val="22"/>
        </w:rPr>
        <w:t>MB Docket No. 18-</w:t>
      </w:r>
      <w:r w:rsidR="00540398">
        <w:rPr>
          <w:szCs w:val="22"/>
        </w:rPr>
        <w:t>121</w:t>
      </w:r>
      <w:r w:rsidRPr="00062036">
        <w:rPr>
          <w:szCs w:val="22"/>
        </w:rPr>
        <w:t xml:space="preserve">; </w:t>
      </w:r>
      <w:r w:rsidRPr="00062036">
        <w:rPr>
          <w:i/>
          <w:szCs w:val="22"/>
        </w:rPr>
        <w:t>Modernization of Media Regulation Initiative</w:t>
      </w:r>
      <w:r w:rsidRPr="00062036">
        <w:rPr>
          <w:szCs w:val="22"/>
        </w:rPr>
        <w:t>, MB Docket No. 17-105</w:t>
      </w:r>
    </w:p>
    <w:p w:rsidR="007F2792" w:rsidP="0062061A">
      <w:pPr>
        <w:tabs>
          <w:tab w:val="center" w:pos="4680"/>
        </w:tabs>
        <w:suppressAutoHyphens/>
        <w:ind w:left="720" w:hanging="720"/>
        <w:rPr>
          <w:szCs w:val="22"/>
        </w:rPr>
      </w:pPr>
    </w:p>
    <w:p w:rsidR="00204FB9" w:rsidRPr="00204FB9" w:rsidP="00204FB9">
      <w:pPr>
        <w:rPr>
          <w:rFonts w:eastAsia="Calibri"/>
          <w:snapToGrid/>
        </w:rPr>
      </w:pPr>
      <w:r w:rsidRPr="00204FB9">
        <w:rPr>
          <w:rFonts w:eastAsia="Calibri"/>
          <w:snapToGrid/>
        </w:rPr>
        <w:tab/>
        <w:t>Nearly 90 years ago, the FCC’s predecessor, the Federal Radio Commission, first adopted rules requiring broadcast licenses to be posted.  But it didn’t explain why.  Nonetheless, these rules were expanded in future years to apply to new services deployed by broadcasters.</w:t>
      </w:r>
    </w:p>
    <w:p w:rsidR="00204FB9" w:rsidP="00204FB9">
      <w:pPr>
        <w:rPr>
          <w:rFonts w:eastAsia="Calibri"/>
          <w:snapToGrid/>
        </w:rPr>
      </w:pPr>
    </w:p>
    <w:p w:rsidR="00204FB9" w:rsidRPr="00204FB9" w:rsidP="00204FB9">
      <w:pPr>
        <w:ind w:firstLine="720"/>
        <w:rPr>
          <w:rFonts w:eastAsia="Calibri"/>
          <w:snapToGrid/>
        </w:rPr>
      </w:pPr>
      <w:r w:rsidRPr="00204FB9">
        <w:rPr>
          <w:rFonts w:eastAsia="Calibri"/>
          <w:snapToGrid/>
        </w:rPr>
        <w:t xml:space="preserve">Perhaps the motivation back then was to ensure that station authorizations, ownership, and contact information would be readily available to the Commission and the public.  But today, the vast majority of this information is easily accessible via the Commission’s electronic databases.  Moreover, in some cases, you can’t see posted licenses even if you want to; the transmitter sites at which stations are required to post them aren’t physically accessible to or viewable by the public.  </w:t>
      </w:r>
    </w:p>
    <w:p w:rsidR="00204FB9" w:rsidP="00204FB9">
      <w:pPr>
        <w:rPr>
          <w:rFonts w:eastAsia="Calibri"/>
          <w:snapToGrid/>
        </w:rPr>
      </w:pPr>
    </w:p>
    <w:p w:rsidR="00204FB9" w:rsidRPr="00204FB9" w:rsidP="00204FB9">
      <w:pPr>
        <w:ind w:firstLine="720"/>
        <w:rPr>
          <w:rFonts w:eastAsia="Calibri"/>
          <w:snapToGrid/>
        </w:rPr>
      </w:pPr>
      <w:r w:rsidRPr="00204FB9">
        <w:rPr>
          <w:rFonts w:eastAsia="Calibri"/>
          <w:snapToGrid/>
        </w:rPr>
        <w:t xml:space="preserve">As a result, I’m skeptical that our license posting rules currently serve any useful purpose and look forward to reviewing comments from stakeholders discussing whether they should be eliminated.  </w:t>
      </w:r>
    </w:p>
    <w:p w:rsidR="00204FB9" w:rsidP="00204FB9">
      <w:pPr>
        <w:rPr>
          <w:rFonts w:eastAsia="Calibri"/>
          <w:snapToGrid/>
        </w:rPr>
      </w:pPr>
    </w:p>
    <w:p w:rsidR="00204FB9" w:rsidRPr="00204FB9" w:rsidP="00204FB9">
      <w:pPr>
        <w:ind w:firstLine="720"/>
        <w:rPr>
          <w:rFonts w:eastAsia="Calibri"/>
          <w:snapToGrid/>
        </w:rPr>
      </w:pPr>
      <w:r w:rsidRPr="00204FB9">
        <w:rPr>
          <w:rFonts w:eastAsia="Calibri"/>
          <w:snapToGrid/>
        </w:rPr>
        <w:t xml:space="preserve">Thanks to the staff who worked on this item, including Steve Broeckaert, Michelle Carey, Martha Heller, Tom Horan, Jonathan Mark, Raelynn Remy, Alexander Sanjenis, and Holly Saurer from the Media Bureau, and Dave Konczal and Royce Sherlock from the Office of General Counsel.  This might sound like a simple Notice of Proposed Rulemaking, but our team nonetheless had to go through our regulations with a fine-tooth comb to locate all the relevant rules.  Indeed, the appendix containing the proposed rule changes is over six pages long.  </w:t>
      </w:r>
    </w:p>
    <w:p w:rsidR="007F2792" w:rsidRPr="0062061A" w:rsidP="0062061A">
      <w:pPr>
        <w:tabs>
          <w:tab w:val="center" w:pos="4680"/>
        </w:tabs>
        <w:suppressAutoHyphens/>
        <w:ind w:left="720" w:hanging="720"/>
        <w:rPr>
          <w:spacing w:val="-2"/>
        </w:rPr>
      </w:pPr>
    </w:p>
    <w:p w:rsidR="00181C9A" w:rsidRPr="005577AD" w:rsidP="00181C9A">
      <w:pPr>
        <w:ind w:firstLine="720"/>
        <w:rPr>
          <w:szCs w:val="22"/>
        </w:rPr>
      </w:pPr>
    </w:p>
    <w:p w:rsidR="002C00E8" w:rsidRPr="002C00E8" w:rsidP="00181C9A">
      <w:pPr>
        <w:pStyle w:val="Heading1"/>
        <w:numPr>
          <w:ilvl w:val="0"/>
          <w:numId w:val="0"/>
        </w:numPr>
        <w:ind w:left="720" w:hanging="720"/>
      </w:pP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B4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D271AC">
      <w:rPr>
        <w:spacing w:val="-2"/>
      </w:rPr>
      <w:t>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03F74"/>
    <w:rsid w:val="00036039"/>
    <w:rsid w:val="00037F90"/>
    <w:rsid w:val="00062036"/>
    <w:rsid w:val="00064891"/>
    <w:rsid w:val="000875BF"/>
    <w:rsid w:val="00096D8C"/>
    <w:rsid w:val="000C0B65"/>
    <w:rsid w:val="000E05FE"/>
    <w:rsid w:val="000E3D42"/>
    <w:rsid w:val="000E57B6"/>
    <w:rsid w:val="00122BD5"/>
    <w:rsid w:val="00133F79"/>
    <w:rsid w:val="00181C9A"/>
    <w:rsid w:val="00194A66"/>
    <w:rsid w:val="001D6BCF"/>
    <w:rsid w:val="001E01CA"/>
    <w:rsid w:val="00204FB9"/>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B406B"/>
    <w:rsid w:val="004C2EE3"/>
    <w:rsid w:val="004E4A22"/>
    <w:rsid w:val="00511968"/>
    <w:rsid w:val="00540398"/>
    <w:rsid w:val="00542C77"/>
    <w:rsid w:val="0055614C"/>
    <w:rsid w:val="005577AD"/>
    <w:rsid w:val="005E14C2"/>
    <w:rsid w:val="00607BA5"/>
    <w:rsid w:val="0061180A"/>
    <w:rsid w:val="0062061A"/>
    <w:rsid w:val="00626EB6"/>
    <w:rsid w:val="00655D03"/>
    <w:rsid w:val="00683388"/>
    <w:rsid w:val="00683F84"/>
    <w:rsid w:val="006A6A81"/>
    <w:rsid w:val="006F7393"/>
    <w:rsid w:val="0070224F"/>
    <w:rsid w:val="007115F7"/>
    <w:rsid w:val="00712447"/>
    <w:rsid w:val="00785689"/>
    <w:rsid w:val="0079754B"/>
    <w:rsid w:val="007A1E6D"/>
    <w:rsid w:val="007A374F"/>
    <w:rsid w:val="007B0EB2"/>
    <w:rsid w:val="007F279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271AC"/>
    <w:rsid w:val="00D44223"/>
    <w:rsid w:val="00DA2529"/>
    <w:rsid w:val="00DB130A"/>
    <w:rsid w:val="00DB2EBB"/>
    <w:rsid w:val="00DC10A1"/>
    <w:rsid w:val="00DC655F"/>
    <w:rsid w:val="00DD0B59"/>
    <w:rsid w:val="00DD7EBD"/>
    <w:rsid w:val="00DF62B6"/>
    <w:rsid w:val="00E07225"/>
    <w:rsid w:val="00E21A09"/>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891"/>
    <w:pPr>
      <w:widowControl w:val="0"/>
    </w:pPr>
    <w:rPr>
      <w:snapToGrid w:val="0"/>
      <w:kern w:val="28"/>
      <w:sz w:val="22"/>
    </w:rPr>
  </w:style>
  <w:style w:type="paragraph" w:styleId="Heading1">
    <w:name w:val="heading 1"/>
    <w:basedOn w:val="Normal"/>
    <w:next w:val="ParaNum"/>
    <w:qFormat/>
    <w:rsid w:val="0006489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64891"/>
    <w:pPr>
      <w:keepNext/>
      <w:numPr>
        <w:ilvl w:val="1"/>
        <w:numId w:val="3"/>
      </w:numPr>
      <w:spacing w:after="120"/>
      <w:outlineLvl w:val="1"/>
    </w:pPr>
    <w:rPr>
      <w:b/>
    </w:rPr>
  </w:style>
  <w:style w:type="paragraph" w:styleId="Heading3">
    <w:name w:val="heading 3"/>
    <w:basedOn w:val="Normal"/>
    <w:next w:val="ParaNum"/>
    <w:qFormat/>
    <w:rsid w:val="00064891"/>
    <w:pPr>
      <w:keepNext/>
      <w:numPr>
        <w:ilvl w:val="2"/>
        <w:numId w:val="3"/>
      </w:numPr>
      <w:tabs>
        <w:tab w:val="left" w:pos="2160"/>
      </w:tabs>
      <w:spacing w:after="120"/>
      <w:outlineLvl w:val="2"/>
    </w:pPr>
    <w:rPr>
      <w:b/>
    </w:rPr>
  </w:style>
  <w:style w:type="paragraph" w:styleId="Heading4">
    <w:name w:val="heading 4"/>
    <w:basedOn w:val="Normal"/>
    <w:next w:val="ParaNum"/>
    <w:qFormat/>
    <w:rsid w:val="00064891"/>
    <w:pPr>
      <w:keepNext/>
      <w:numPr>
        <w:ilvl w:val="3"/>
        <w:numId w:val="3"/>
      </w:numPr>
      <w:tabs>
        <w:tab w:val="left" w:pos="2880"/>
      </w:tabs>
      <w:spacing w:after="120"/>
      <w:outlineLvl w:val="3"/>
    </w:pPr>
    <w:rPr>
      <w:b/>
    </w:rPr>
  </w:style>
  <w:style w:type="paragraph" w:styleId="Heading5">
    <w:name w:val="heading 5"/>
    <w:basedOn w:val="Normal"/>
    <w:next w:val="ParaNum"/>
    <w:qFormat/>
    <w:rsid w:val="0006489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64891"/>
    <w:pPr>
      <w:numPr>
        <w:ilvl w:val="5"/>
        <w:numId w:val="3"/>
      </w:numPr>
      <w:tabs>
        <w:tab w:val="left" w:pos="4320"/>
      </w:tabs>
      <w:spacing w:after="120"/>
      <w:outlineLvl w:val="5"/>
    </w:pPr>
    <w:rPr>
      <w:b/>
    </w:rPr>
  </w:style>
  <w:style w:type="paragraph" w:styleId="Heading7">
    <w:name w:val="heading 7"/>
    <w:basedOn w:val="Normal"/>
    <w:next w:val="ParaNum"/>
    <w:qFormat/>
    <w:rsid w:val="0006489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6489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6489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064891"/>
    <w:pPr>
      <w:numPr>
        <w:numId w:val="2"/>
      </w:numPr>
      <w:tabs>
        <w:tab w:val="clear" w:pos="1080"/>
        <w:tab w:val="num" w:pos="1440"/>
      </w:tabs>
      <w:spacing w:after="120"/>
    </w:pPr>
  </w:style>
  <w:style w:type="paragraph" w:styleId="EndnoteText">
    <w:name w:val="endnote text"/>
    <w:basedOn w:val="Normal"/>
    <w:semiHidden/>
    <w:rsid w:val="00064891"/>
    <w:rPr>
      <w:sz w:val="20"/>
    </w:rPr>
  </w:style>
  <w:style w:type="character" w:styleId="EndnoteReference">
    <w:name w:val="endnote reference"/>
    <w:semiHidden/>
    <w:rsid w:val="00064891"/>
    <w:rPr>
      <w:vertAlign w:val="superscript"/>
    </w:rPr>
  </w:style>
  <w:style w:type="paragraph" w:styleId="FootnoteText">
    <w:name w:val="footnote text"/>
    <w:rsid w:val="00064891"/>
    <w:pPr>
      <w:spacing w:after="120"/>
    </w:pPr>
  </w:style>
  <w:style w:type="character" w:styleId="FootnoteReference">
    <w:name w:val="footnote reference"/>
    <w:rsid w:val="00064891"/>
    <w:rPr>
      <w:rFonts w:ascii="Times New Roman" w:hAnsi="Times New Roman"/>
      <w:dstrike w:val="0"/>
      <w:color w:val="auto"/>
      <w:sz w:val="20"/>
      <w:vertAlign w:val="superscript"/>
    </w:rPr>
  </w:style>
  <w:style w:type="paragraph" w:styleId="TOC1">
    <w:name w:val="toc 1"/>
    <w:basedOn w:val="Normal"/>
    <w:next w:val="Normal"/>
    <w:semiHidden/>
    <w:rsid w:val="0006489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64891"/>
    <w:pPr>
      <w:tabs>
        <w:tab w:val="left" w:pos="720"/>
        <w:tab w:val="right" w:leader="dot" w:pos="9360"/>
      </w:tabs>
      <w:suppressAutoHyphens/>
      <w:ind w:left="720" w:right="720" w:hanging="360"/>
    </w:pPr>
    <w:rPr>
      <w:noProof/>
    </w:rPr>
  </w:style>
  <w:style w:type="paragraph" w:styleId="TOC3">
    <w:name w:val="toc 3"/>
    <w:basedOn w:val="Normal"/>
    <w:next w:val="Normal"/>
    <w:semiHidden/>
    <w:rsid w:val="0006489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6489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6489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6489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6489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6489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6489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64891"/>
    <w:pPr>
      <w:tabs>
        <w:tab w:val="right" w:pos="9360"/>
      </w:tabs>
      <w:suppressAutoHyphens/>
    </w:pPr>
  </w:style>
  <w:style w:type="character" w:customStyle="1" w:styleId="EquationCaption">
    <w:name w:val="_Equation Caption"/>
    <w:rsid w:val="00064891"/>
  </w:style>
  <w:style w:type="paragraph" w:styleId="Header">
    <w:name w:val="header"/>
    <w:basedOn w:val="Normal"/>
    <w:autoRedefine/>
    <w:rsid w:val="00064891"/>
    <w:pPr>
      <w:tabs>
        <w:tab w:val="center" w:pos="4680"/>
        <w:tab w:val="right" w:pos="9360"/>
      </w:tabs>
    </w:pPr>
    <w:rPr>
      <w:b/>
    </w:rPr>
  </w:style>
  <w:style w:type="paragraph" w:styleId="Footer">
    <w:name w:val="footer"/>
    <w:basedOn w:val="Normal"/>
    <w:rsid w:val="00064891"/>
    <w:pPr>
      <w:tabs>
        <w:tab w:val="center" w:pos="4320"/>
        <w:tab w:val="right" w:pos="8640"/>
      </w:tabs>
    </w:pPr>
  </w:style>
  <w:style w:type="character" w:styleId="PageNumber">
    <w:name w:val="page number"/>
    <w:rsid w:val="00064891"/>
  </w:style>
  <w:style w:type="paragraph" w:styleId="BlockText">
    <w:name w:val="Block Text"/>
    <w:basedOn w:val="Normal"/>
    <w:rsid w:val="00064891"/>
    <w:pPr>
      <w:spacing w:after="240"/>
      <w:ind w:left="1440" w:right="1440"/>
    </w:pPr>
  </w:style>
  <w:style w:type="paragraph" w:customStyle="1" w:styleId="Paratitle">
    <w:name w:val="Para title"/>
    <w:basedOn w:val="Normal"/>
    <w:rsid w:val="00064891"/>
    <w:pPr>
      <w:tabs>
        <w:tab w:val="center" w:pos="9270"/>
      </w:tabs>
      <w:spacing w:after="240"/>
    </w:pPr>
    <w:rPr>
      <w:spacing w:val="-2"/>
    </w:rPr>
  </w:style>
  <w:style w:type="paragraph" w:customStyle="1" w:styleId="Bullet">
    <w:name w:val="Bullet"/>
    <w:basedOn w:val="Normal"/>
    <w:rsid w:val="00064891"/>
    <w:pPr>
      <w:tabs>
        <w:tab w:val="left" w:pos="2160"/>
      </w:tabs>
      <w:spacing w:after="220"/>
      <w:ind w:left="2160" w:hanging="720"/>
    </w:pPr>
  </w:style>
  <w:style w:type="paragraph" w:customStyle="1" w:styleId="TableFormat">
    <w:name w:val="TableFormat"/>
    <w:basedOn w:val="Bullet"/>
    <w:rsid w:val="00064891"/>
    <w:pPr>
      <w:tabs>
        <w:tab w:val="clear" w:pos="2160"/>
        <w:tab w:val="left" w:pos="5040"/>
      </w:tabs>
      <w:ind w:left="5040" w:hanging="3600"/>
    </w:pPr>
  </w:style>
  <w:style w:type="paragraph" w:customStyle="1" w:styleId="TOCTitle">
    <w:name w:val="TOC Title"/>
    <w:basedOn w:val="Normal"/>
    <w:rsid w:val="0006489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64891"/>
    <w:pPr>
      <w:jc w:val="center"/>
    </w:pPr>
    <w:rPr>
      <w:rFonts w:ascii="Times New Roman Bold" w:hAnsi="Times New Roman Bold"/>
      <w:b/>
      <w:bCs/>
      <w:caps/>
      <w:szCs w:val="22"/>
    </w:rPr>
  </w:style>
  <w:style w:type="character" w:styleId="Hyperlink">
    <w:name w:val="Hyperlink"/>
    <w:rsid w:val="000648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A0F37-5F3E-4323-8074-83CDE8AA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2018-05-10T17:51:12Z</dcterms:created>
  <dcterms:modified xsi:type="dcterms:W3CDTF">2018-05-10T17:51:12Z</dcterms:modified>
</cp:coreProperties>
</file>