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4E291F" w:rsidP="00E03A98">
      <w:pPr>
        <w:suppressAutoHyphens/>
        <w:jc w:val="center"/>
        <w:outlineLvl w:val="0"/>
        <w:rPr>
          <w:b/>
          <w:sz w:val="28"/>
        </w:rPr>
      </w:pPr>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pPr>
        <w:pStyle w:val="Header"/>
        <w:tabs>
          <w:tab w:val="clear" w:pos="4320"/>
          <w:tab w:val="clear" w:pos="8640"/>
        </w:tabs>
        <w:jc w:val="center"/>
        <w:rPr>
          <w:b/>
        </w:rPr>
      </w:pPr>
      <w:r w:rsidRPr="004E291F">
        <w:rPr>
          <w:b/>
        </w:rPr>
        <w:t>ENFORCEMENT BUREAU</w:t>
      </w:r>
    </w:p>
    <w:p w:rsidR="006C6C0D" w:rsidRPr="00F1583C" w:rsidP="00E03A98">
      <w:pPr>
        <w:pStyle w:val="Header"/>
        <w:tabs>
          <w:tab w:val="clear" w:pos="4320"/>
          <w:tab w:val="clear" w:pos="8640"/>
        </w:tabs>
        <w:jc w:val="center"/>
        <w:rPr>
          <w:b/>
        </w:rPr>
      </w:pPr>
      <w:r w:rsidRPr="00F1583C">
        <w:rPr>
          <w:b/>
        </w:rPr>
        <w:t>REGION</w:t>
      </w:r>
      <w:r w:rsidR="00CF0672">
        <w:rPr>
          <w:b/>
        </w:rPr>
        <w:t xml:space="preserve"> </w:t>
      </w:r>
      <w:r w:rsidR="00674604">
        <w:rPr>
          <w:b/>
        </w:rPr>
        <w:t>TWO</w:t>
      </w:r>
    </w:p>
    <w:p w:rsidR="006C6C0D" w:rsidRPr="004E291F" w:rsidP="000A247F">
      <w:pPr>
        <w:pStyle w:val="Header"/>
        <w:tabs>
          <w:tab w:val="clear" w:pos="4320"/>
          <w:tab w:val="clear" w:pos="8640"/>
        </w:tabs>
        <w:ind w:firstLine="720"/>
      </w:pPr>
    </w:p>
    <w:p w:rsidR="00674604" w:rsidRPr="00ED1C01" w:rsidP="00674604">
      <w:pPr>
        <w:suppressAutoHyphens/>
        <w:jc w:val="center"/>
        <w:rPr>
          <w:sz w:val="22"/>
          <w:szCs w:val="24"/>
        </w:rPr>
      </w:pPr>
      <w:r w:rsidRPr="00ED1C01">
        <w:rPr>
          <w:sz w:val="22"/>
          <w:szCs w:val="24"/>
        </w:rPr>
        <w:t>Atlanta Regional Office</w:t>
      </w:r>
    </w:p>
    <w:p w:rsidR="00674604" w:rsidRPr="00ED1C01" w:rsidP="00674604">
      <w:pPr>
        <w:suppressAutoHyphens/>
        <w:jc w:val="center"/>
        <w:rPr>
          <w:sz w:val="22"/>
          <w:szCs w:val="24"/>
        </w:rPr>
      </w:pPr>
      <w:r w:rsidRPr="00ED1C01">
        <w:rPr>
          <w:sz w:val="22"/>
          <w:szCs w:val="24"/>
        </w:rPr>
        <w:t>P.O. Box 1493</w:t>
      </w:r>
    </w:p>
    <w:p w:rsidR="002139FC" w:rsidRPr="00ED1C01" w:rsidP="00674604">
      <w:pPr>
        <w:suppressAutoHyphens/>
        <w:jc w:val="center"/>
        <w:outlineLvl w:val="0"/>
        <w:rPr>
          <w:sz w:val="22"/>
          <w:szCs w:val="24"/>
        </w:rPr>
      </w:pPr>
      <w:r w:rsidRPr="00ED1C01">
        <w:rPr>
          <w:sz w:val="22"/>
          <w:szCs w:val="24"/>
        </w:rPr>
        <w:t>Powder Springs, GA  30127</w:t>
      </w:r>
    </w:p>
    <w:p w:rsidR="006C6C0D" w:rsidRPr="00ED1C01" w:rsidP="00E03A98">
      <w:pPr>
        <w:suppressAutoHyphens/>
        <w:rPr>
          <w:sz w:val="22"/>
        </w:rPr>
      </w:pPr>
    </w:p>
    <w:p w:rsidR="00EB4D0B" w:rsidRPr="00ED1C01" w:rsidP="00EB4D0B">
      <w:pPr>
        <w:suppressAutoHyphens/>
        <w:jc w:val="center"/>
        <w:rPr>
          <w:sz w:val="22"/>
          <w:szCs w:val="24"/>
        </w:rPr>
      </w:pPr>
      <w:r w:rsidRPr="00ED1C01">
        <w:rPr>
          <w:sz w:val="22"/>
          <w:szCs w:val="24"/>
        </w:rPr>
        <w:t>May 22</w:t>
      </w:r>
      <w:r w:rsidRPr="00ED1C01" w:rsidR="00F0036E">
        <w:rPr>
          <w:sz w:val="22"/>
          <w:szCs w:val="24"/>
        </w:rPr>
        <w:t>, 201</w:t>
      </w:r>
      <w:r w:rsidRPr="00ED1C01">
        <w:rPr>
          <w:sz w:val="22"/>
          <w:szCs w:val="24"/>
        </w:rPr>
        <w:t>8</w:t>
      </w:r>
    </w:p>
    <w:p w:rsidR="00DC498F" w:rsidP="00EB4D0B">
      <w:pPr>
        <w:suppressAutoHyphens/>
        <w:jc w:val="center"/>
        <w:rPr>
          <w:szCs w:val="24"/>
        </w:rPr>
      </w:pPr>
    </w:p>
    <w:p w:rsidR="00DC498F" w:rsidRPr="00ED1C01" w:rsidP="00EB4D0B">
      <w:pPr>
        <w:suppressAutoHyphens/>
        <w:jc w:val="center"/>
        <w:rPr>
          <w:sz w:val="22"/>
          <w:szCs w:val="24"/>
        </w:rPr>
      </w:pPr>
    </w:p>
    <w:p w:rsidR="0011087F" w:rsidRPr="00ED1C01" w:rsidP="0011087F">
      <w:pPr>
        <w:widowControl/>
        <w:rPr>
          <w:sz w:val="22"/>
          <w:szCs w:val="24"/>
        </w:rPr>
      </w:pPr>
      <w:r w:rsidRPr="00ED1C01">
        <w:rPr>
          <w:sz w:val="22"/>
          <w:szCs w:val="24"/>
        </w:rPr>
        <w:t>Francisco Guzman, Pastor</w:t>
      </w:r>
    </w:p>
    <w:p w:rsidR="0011087F" w:rsidRPr="00ED1C01" w:rsidP="00E03A98">
      <w:pPr>
        <w:widowControl/>
        <w:rPr>
          <w:sz w:val="22"/>
          <w:szCs w:val="24"/>
        </w:rPr>
      </w:pPr>
      <w:r w:rsidRPr="00ED1C01">
        <w:rPr>
          <w:sz w:val="22"/>
          <w:szCs w:val="24"/>
        </w:rPr>
        <w:t>Iglesia</w:t>
      </w:r>
      <w:r w:rsidRPr="00ED1C01">
        <w:rPr>
          <w:sz w:val="22"/>
          <w:szCs w:val="24"/>
        </w:rPr>
        <w:t xml:space="preserve"> La Nueva </w:t>
      </w:r>
      <w:r w:rsidRPr="00ED1C01">
        <w:rPr>
          <w:sz w:val="22"/>
          <w:szCs w:val="24"/>
        </w:rPr>
        <w:t>Jerusalen</w:t>
      </w:r>
      <w:r w:rsidRPr="00ED1C01">
        <w:rPr>
          <w:sz w:val="22"/>
          <w:szCs w:val="24"/>
        </w:rPr>
        <w:t xml:space="preserve">, Ciudad De La </w:t>
      </w:r>
      <w:r w:rsidRPr="00ED1C01">
        <w:rPr>
          <w:sz w:val="22"/>
          <w:szCs w:val="24"/>
        </w:rPr>
        <w:t>Verdad</w:t>
      </w:r>
      <w:r w:rsidRPr="00ED1C01">
        <w:rPr>
          <w:sz w:val="22"/>
          <w:szCs w:val="24"/>
        </w:rPr>
        <w:t xml:space="preserve">, Monte De </w:t>
      </w:r>
      <w:r w:rsidRPr="00ED1C01">
        <w:rPr>
          <w:sz w:val="22"/>
          <w:szCs w:val="24"/>
        </w:rPr>
        <w:t>Santidad</w:t>
      </w:r>
      <w:r w:rsidRPr="00ED1C01">
        <w:rPr>
          <w:sz w:val="22"/>
          <w:szCs w:val="24"/>
        </w:rPr>
        <w:t xml:space="preserve"> Inc.</w:t>
      </w:r>
      <w:r w:rsidRPr="00ED1C01">
        <w:rPr>
          <w:sz w:val="22"/>
          <w:szCs w:val="24"/>
        </w:rPr>
        <w:t xml:space="preserve"> </w:t>
      </w:r>
    </w:p>
    <w:p w:rsidR="00A013B0" w:rsidRPr="00ED1C01" w:rsidP="00A013B0">
      <w:pPr>
        <w:widowControl/>
        <w:rPr>
          <w:sz w:val="22"/>
          <w:szCs w:val="24"/>
        </w:rPr>
      </w:pPr>
      <w:r w:rsidRPr="00ED1C01">
        <w:rPr>
          <w:sz w:val="22"/>
          <w:szCs w:val="24"/>
        </w:rPr>
        <w:t>Baton Rouge</w:t>
      </w:r>
      <w:r w:rsidRPr="00ED1C01" w:rsidR="00F0036E">
        <w:rPr>
          <w:sz w:val="22"/>
          <w:szCs w:val="24"/>
        </w:rPr>
        <w:t>, Louisiana</w:t>
      </w:r>
      <w:r w:rsidRPr="00ED1C01" w:rsidR="0011087F">
        <w:rPr>
          <w:sz w:val="22"/>
          <w:szCs w:val="24"/>
        </w:rPr>
        <w:t xml:space="preserve"> 70810</w:t>
      </w:r>
    </w:p>
    <w:p w:rsidR="00A013B0" w:rsidRPr="00ED1C01" w:rsidP="00E03A98">
      <w:pPr>
        <w:widowControl/>
        <w:rPr>
          <w:sz w:val="22"/>
          <w:szCs w:val="24"/>
        </w:rPr>
      </w:pPr>
    </w:p>
    <w:p w:rsidR="00AE149D" w:rsidRPr="00ED1C01" w:rsidP="00E03A98">
      <w:pPr>
        <w:widowControl/>
        <w:rPr>
          <w:b/>
          <w:sz w:val="20"/>
        </w:rPr>
      </w:pPr>
    </w:p>
    <w:p w:rsidR="006C6C0D" w:rsidRPr="00ED1C01" w:rsidP="00E03A98">
      <w:pPr>
        <w:widowControl/>
        <w:jc w:val="center"/>
        <w:rPr>
          <w:sz w:val="22"/>
          <w:szCs w:val="24"/>
        </w:rPr>
      </w:pPr>
      <w:r w:rsidRPr="00ED1C01">
        <w:rPr>
          <w:b/>
          <w:sz w:val="22"/>
          <w:szCs w:val="24"/>
        </w:rPr>
        <w:t>NOTICE OF UNLICENSED OPERATION</w:t>
      </w:r>
    </w:p>
    <w:p w:rsidR="006C6C0D" w:rsidRPr="00ED1C01" w:rsidP="00E03A98">
      <w:pPr>
        <w:widowControl/>
        <w:rPr>
          <w:sz w:val="22"/>
          <w:szCs w:val="24"/>
        </w:rPr>
      </w:pPr>
    </w:p>
    <w:p w:rsidR="006C6C0D" w:rsidRPr="00ED1C01" w:rsidP="00281E75">
      <w:pPr>
        <w:widowControl/>
        <w:tabs>
          <w:tab w:val="left" w:pos="4500"/>
          <w:tab w:val="left" w:pos="6930"/>
        </w:tabs>
        <w:outlineLvl w:val="0"/>
        <w:rPr>
          <w:b/>
          <w:color w:val="FF0000"/>
          <w:sz w:val="22"/>
          <w:szCs w:val="24"/>
          <w:highlight w:val="yellow"/>
        </w:rPr>
      </w:pPr>
      <w:r w:rsidRPr="00ED1C01">
        <w:rPr>
          <w:sz w:val="22"/>
          <w:szCs w:val="24"/>
        </w:rPr>
        <w:tab/>
      </w:r>
      <w:r w:rsidRPr="00ED1C01">
        <w:rPr>
          <w:sz w:val="22"/>
          <w:szCs w:val="24"/>
        </w:rPr>
        <w:t xml:space="preserve">Case Number:  </w:t>
      </w:r>
      <w:r w:rsidRPr="00ED1C01" w:rsidR="002A62D7">
        <w:rPr>
          <w:sz w:val="22"/>
        </w:rPr>
        <w:t>EB-FIELDSCR-17-00025638</w:t>
      </w:r>
    </w:p>
    <w:p w:rsidR="006C6C0D" w:rsidRPr="00ED1C01" w:rsidP="00281E75">
      <w:pPr>
        <w:widowControl/>
        <w:tabs>
          <w:tab w:val="left" w:pos="4500"/>
          <w:tab w:val="left" w:pos="6930"/>
        </w:tabs>
        <w:outlineLvl w:val="0"/>
        <w:rPr>
          <w:b/>
          <w:color w:val="FF0000"/>
          <w:sz w:val="22"/>
          <w:szCs w:val="24"/>
          <w:highlight w:val="yellow"/>
        </w:rPr>
      </w:pPr>
      <w:r w:rsidRPr="00ED1C01">
        <w:rPr>
          <w:sz w:val="22"/>
          <w:szCs w:val="24"/>
        </w:rPr>
        <w:tab/>
      </w:r>
    </w:p>
    <w:p w:rsidR="00583F77" w:rsidRPr="00ED1C01" w:rsidP="00D86672">
      <w:pPr>
        <w:widowControl/>
        <w:rPr>
          <w:color w:val="000000" w:themeColor="text1"/>
          <w:sz w:val="22"/>
          <w:szCs w:val="24"/>
        </w:rPr>
      </w:pPr>
      <w:r w:rsidRPr="00ED1C01">
        <w:rPr>
          <w:color w:val="000000" w:themeColor="text1"/>
          <w:sz w:val="22"/>
          <w:szCs w:val="24"/>
        </w:rPr>
        <w:t xml:space="preserve">On </w:t>
      </w:r>
      <w:r w:rsidRPr="00ED1C01" w:rsidR="00062EF4">
        <w:rPr>
          <w:color w:val="000000" w:themeColor="text1"/>
          <w:sz w:val="22"/>
          <w:szCs w:val="24"/>
        </w:rPr>
        <w:t xml:space="preserve">May 16, </w:t>
      </w:r>
      <w:r w:rsidRPr="00ED1C01">
        <w:rPr>
          <w:color w:val="000000" w:themeColor="text1"/>
          <w:sz w:val="22"/>
          <w:szCs w:val="24"/>
        </w:rPr>
        <w:t>201</w:t>
      </w:r>
      <w:r w:rsidRPr="00ED1C01" w:rsidR="00062EF4">
        <w:rPr>
          <w:color w:val="000000" w:themeColor="text1"/>
          <w:sz w:val="22"/>
          <w:szCs w:val="24"/>
        </w:rPr>
        <w:t>8</w:t>
      </w:r>
      <w:r w:rsidRPr="00ED1C01">
        <w:rPr>
          <w:color w:val="000000" w:themeColor="text1"/>
          <w:sz w:val="22"/>
          <w:szCs w:val="24"/>
        </w:rPr>
        <w:t>, an Agent</w:t>
      </w:r>
      <w:r w:rsidRPr="00ED1C01" w:rsidR="00026043">
        <w:rPr>
          <w:color w:val="000000" w:themeColor="text1"/>
          <w:sz w:val="22"/>
          <w:szCs w:val="24"/>
        </w:rPr>
        <w:t xml:space="preserve"> from</w:t>
      </w:r>
      <w:r w:rsidRPr="00ED1C01" w:rsidR="00827643">
        <w:rPr>
          <w:color w:val="000000" w:themeColor="text1"/>
          <w:sz w:val="22"/>
          <w:szCs w:val="24"/>
        </w:rPr>
        <w:t xml:space="preserve"> </w:t>
      </w:r>
      <w:r w:rsidRPr="00ED1C01" w:rsidR="00E300AB">
        <w:rPr>
          <w:color w:val="000000" w:themeColor="text1"/>
          <w:sz w:val="22"/>
          <w:szCs w:val="24"/>
        </w:rPr>
        <w:t xml:space="preserve">the </w:t>
      </w:r>
      <w:r w:rsidRPr="00ED1C01">
        <w:rPr>
          <w:color w:val="000000" w:themeColor="text1"/>
          <w:sz w:val="22"/>
          <w:szCs w:val="24"/>
        </w:rPr>
        <w:t>New Orleans</w:t>
      </w:r>
      <w:r w:rsidRPr="00ED1C01" w:rsidR="001C4210">
        <w:rPr>
          <w:color w:val="000000" w:themeColor="text1"/>
          <w:sz w:val="22"/>
          <w:szCs w:val="24"/>
        </w:rPr>
        <w:t xml:space="preserve"> Office</w:t>
      </w:r>
      <w:r w:rsidRPr="00ED1C01" w:rsidR="005176BA">
        <w:rPr>
          <w:color w:val="000000" w:themeColor="text1"/>
          <w:sz w:val="22"/>
          <w:szCs w:val="24"/>
        </w:rPr>
        <w:t xml:space="preserve"> (</w:t>
      </w:r>
      <w:r w:rsidRPr="00ED1C01" w:rsidR="004F02A0">
        <w:rPr>
          <w:color w:val="000000" w:themeColor="text1"/>
          <w:sz w:val="22"/>
          <w:szCs w:val="24"/>
        </w:rPr>
        <w:t>New Orleans</w:t>
      </w:r>
      <w:r w:rsidRPr="00ED1C01" w:rsidR="005176BA">
        <w:rPr>
          <w:color w:val="000000" w:themeColor="text1"/>
          <w:sz w:val="22"/>
          <w:szCs w:val="24"/>
        </w:rPr>
        <w:t xml:space="preserve"> Office)</w:t>
      </w:r>
      <w:r w:rsidRPr="00ED1C01" w:rsidR="001C4210">
        <w:rPr>
          <w:color w:val="000000" w:themeColor="text1"/>
          <w:sz w:val="22"/>
          <w:szCs w:val="24"/>
        </w:rPr>
        <w:t xml:space="preserve"> of the </w:t>
      </w:r>
      <w:r w:rsidRPr="00ED1C01" w:rsidR="00D1078D">
        <w:rPr>
          <w:color w:val="000000" w:themeColor="text1"/>
          <w:sz w:val="22"/>
          <w:szCs w:val="24"/>
        </w:rPr>
        <w:t xml:space="preserve">Federal Communications Commission’s </w:t>
      </w:r>
      <w:r w:rsidRPr="00ED1C01" w:rsidR="00562A00">
        <w:rPr>
          <w:color w:val="000000" w:themeColor="text1"/>
          <w:sz w:val="22"/>
          <w:szCs w:val="24"/>
        </w:rPr>
        <w:t xml:space="preserve">(FCC’s or Commission’s) </w:t>
      </w:r>
      <w:r w:rsidRPr="00ED1C01" w:rsidR="00D1078D">
        <w:rPr>
          <w:color w:val="000000" w:themeColor="text1"/>
          <w:sz w:val="22"/>
          <w:szCs w:val="24"/>
        </w:rPr>
        <w:t>Enforcement Bureau</w:t>
      </w:r>
      <w:r w:rsidRPr="00ED1C01" w:rsidR="00026043">
        <w:rPr>
          <w:color w:val="000000" w:themeColor="text1"/>
          <w:sz w:val="22"/>
          <w:szCs w:val="24"/>
        </w:rPr>
        <w:t xml:space="preserve"> </w:t>
      </w:r>
      <w:r w:rsidRPr="00ED1C01" w:rsidR="00562A00">
        <w:rPr>
          <w:color w:val="000000" w:themeColor="text1"/>
          <w:sz w:val="22"/>
          <w:szCs w:val="24"/>
        </w:rPr>
        <w:t xml:space="preserve">(Bureau) </w:t>
      </w:r>
      <w:r w:rsidRPr="00ED1C01" w:rsidR="00026043">
        <w:rPr>
          <w:color w:val="000000" w:themeColor="text1"/>
          <w:sz w:val="22"/>
          <w:szCs w:val="24"/>
        </w:rPr>
        <w:t>responded to</w:t>
      </w:r>
      <w:r w:rsidRPr="00ED1C01">
        <w:rPr>
          <w:color w:val="000000" w:themeColor="text1"/>
          <w:sz w:val="22"/>
          <w:szCs w:val="24"/>
        </w:rPr>
        <w:t xml:space="preserve"> </w:t>
      </w:r>
      <w:r w:rsidRPr="00ED1C01">
        <w:rPr>
          <w:color w:val="000000" w:themeColor="text1"/>
          <w:sz w:val="22"/>
          <w:szCs w:val="24"/>
        </w:rPr>
        <w:t xml:space="preserve">a </w:t>
      </w:r>
      <w:r w:rsidRPr="00ED1C01">
        <w:rPr>
          <w:color w:val="000000" w:themeColor="text1"/>
          <w:sz w:val="22"/>
          <w:szCs w:val="24"/>
        </w:rPr>
        <w:t xml:space="preserve">complaint of an unlicensed FM station operating on the frequency </w:t>
      </w:r>
      <w:r w:rsidR="00162C5C">
        <w:rPr>
          <w:color w:val="000000" w:themeColor="text1"/>
          <w:sz w:val="22"/>
          <w:szCs w:val="24"/>
        </w:rPr>
        <w:t>87.9 </w:t>
      </w:r>
      <w:r w:rsidRPr="00ED1C01">
        <w:rPr>
          <w:color w:val="000000" w:themeColor="text1"/>
          <w:sz w:val="22"/>
          <w:szCs w:val="24"/>
        </w:rPr>
        <w:t>MHz</w:t>
      </w:r>
      <w:r w:rsidRPr="00ED1C01" w:rsidR="00062EF4">
        <w:rPr>
          <w:color w:val="000000" w:themeColor="text1"/>
          <w:sz w:val="22"/>
          <w:szCs w:val="24"/>
        </w:rPr>
        <w:t xml:space="preserve"> and 1710 KHz</w:t>
      </w:r>
      <w:r w:rsidRPr="00ED1C01">
        <w:rPr>
          <w:color w:val="000000" w:themeColor="text1"/>
          <w:sz w:val="22"/>
          <w:szCs w:val="24"/>
        </w:rPr>
        <w:t xml:space="preserve"> in </w:t>
      </w:r>
      <w:r w:rsidRPr="00ED1C01" w:rsidR="004F02A0">
        <w:rPr>
          <w:color w:val="000000" w:themeColor="text1"/>
          <w:sz w:val="22"/>
          <w:szCs w:val="24"/>
        </w:rPr>
        <w:t>Baton Rouge</w:t>
      </w:r>
      <w:r w:rsidRPr="00ED1C01">
        <w:rPr>
          <w:color w:val="000000" w:themeColor="text1"/>
          <w:sz w:val="22"/>
          <w:szCs w:val="24"/>
        </w:rPr>
        <w:t>, Louisiana</w:t>
      </w:r>
      <w:r w:rsidRPr="00ED1C01">
        <w:rPr>
          <w:color w:val="000000" w:themeColor="text1"/>
          <w:sz w:val="22"/>
          <w:szCs w:val="24"/>
        </w:rPr>
        <w:t xml:space="preserve">.  </w:t>
      </w:r>
      <w:r w:rsidRPr="00ED1C01" w:rsidR="00026043">
        <w:rPr>
          <w:color w:val="000000"/>
          <w:sz w:val="22"/>
          <w:szCs w:val="24"/>
        </w:rPr>
        <w:t xml:space="preserve">The </w:t>
      </w:r>
      <w:r w:rsidRPr="00ED1C01" w:rsidR="00502806">
        <w:rPr>
          <w:color w:val="000000"/>
          <w:sz w:val="22"/>
          <w:szCs w:val="24"/>
        </w:rPr>
        <w:t>A</w:t>
      </w:r>
      <w:r w:rsidRPr="00ED1C01">
        <w:rPr>
          <w:color w:val="000000"/>
          <w:sz w:val="22"/>
          <w:szCs w:val="24"/>
        </w:rPr>
        <w:t>gent</w:t>
      </w:r>
      <w:r w:rsidRPr="00ED1C01" w:rsidR="00F912B9">
        <w:rPr>
          <w:color w:val="000000"/>
          <w:sz w:val="22"/>
          <w:szCs w:val="24"/>
        </w:rPr>
        <w:t xml:space="preserve"> confirmed by direction finding techniques that</w:t>
      </w:r>
      <w:r w:rsidRPr="00ED1C01" w:rsidR="00A013B0">
        <w:rPr>
          <w:color w:val="000000"/>
          <w:sz w:val="22"/>
          <w:szCs w:val="24"/>
        </w:rPr>
        <w:t xml:space="preserve"> radio signals on </w:t>
      </w:r>
      <w:r w:rsidRPr="00ED1C01" w:rsidR="0011087F">
        <w:rPr>
          <w:color w:val="000000"/>
          <w:sz w:val="22"/>
          <w:szCs w:val="24"/>
        </w:rPr>
        <w:t xml:space="preserve">the </w:t>
      </w:r>
      <w:r w:rsidRPr="00ED1C01" w:rsidR="00A013B0">
        <w:rPr>
          <w:color w:val="000000"/>
          <w:sz w:val="22"/>
          <w:szCs w:val="24"/>
        </w:rPr>
        <w:t>frequenc</w:t>
      </w:r>
      <w:r w:rsidRPr="00ED1C01" w:rsidR="0011087F">
        <w:rPr>
          <w:color w:val="000000"/>
          <w:sz w:val="22"/>
          <w:szCs w:val="24"/>
        </w:rPr>
        <w:t>ies</w:t>
      </w:r>
      <w:r w:rsidRPr="00ED1C01" w:rsidR="00A013B0">
        <w:rPr>
          <w:color w:val="000000"/>
          <w:sz w:val="22"/>
          <w:szCs w:val="24"/>
        </w:rPr>
        <w:t xml:space="preserve"> </w:t>
      </w:r>
      <w:r w:rsidR="00162C5C">
        <w:rPr>
          <w:color w:val="000000"/>
          <w:sz w:val="22"/>
          <w:szCs w:val="24"/>
        </w:rPr>
        <w:t>87.9 </w:t>
      </w:r>
      <w:r w:rsidRPr="00ED1C01" w:rsidR="00F912B9">
        <w:rPr>
          <w:color w:val="000000"/>
          <w:sz w:val="22"/>
          <w:szCs w:val="24"/>
        </w:rPr>
        <w:t xml:space="preserve">MHz </w:t>
      </w:r>
      <w:r w:rsidRPr="00ED1C01" w:rsidR="00062EF4">
        <w:rPr>
          <w:color w:val="000000"/>
          <w:sz w:val="22"/>
          <w:szCs w:val="24"/>
        </w:rPr>
        <w:t xml:space="preserve">and 1710 </w:t>
      </w:r>
      <w:r w:rsidRPr="00ED1C01" w:rsidR="00ED1C01">
        <w:rPr>
          <w:color w:val="000000"/>
          <w:sz w:val="22"/>
          <w:szCs w:val="24"/>
        </w:rPr>
        <w:t xml:space="preserve">kHz </w:t>
      </w:r>
      <w:r w:rsidRPr="00ED1C01" w:rsidR="00F912B9">
        <w:rPr>
          <w:color w:val="000000"/>
          <w:sz w:val="22"/>
          <w:szCs w:val="24"/>
        </w:rPr>
        <w:t>were emanating from</w:t>
      </w:r>
      <w:r w:rsidRPr="00ED1C01" w:rsidR="0043694B">
        <w:rPr>
          <w:color w:val="000000"/>
          <w:sz w:val="22"/>
          <w:szCs w:val="24"/>
        </w:rPr>
        <w:t xml:space="preserve"> </w:t>
      </w:r>
      <w:r w:rsidRPr="00ED1C01" w:rsidR="0011087F">
        <w:rPr>
          <w:color w:val="000000"/>
          <w:sz w:val="22"/>
          <w:szCs w:val="24"/>
        </w:rPr>
        <w:t xml:space="preserve">your </w:t>
      </w:r>
      <w:r w:rsidR="004E20C1">
        <w:rPr>
          <w:color w:val="000000"/>
          <w:sz w:val="22"/>
          <w:szCs w:val="24"/>
        </w:rPr>
        <w:t xml:space="preserve">location </w:t>
      </w:r>
      <w:r w:rsidRPr="00ED1C01" w:rsidR="0043694B">
        <w:rPr>
          <w:color w:val="000000"/>
          <w:sz w:val="22"/>
          <w:szCs w:val="24"/>
        </w:rPr>
        <w:t>at</w:t>
      </w:r>
      <w:r w:rsidRPr="00ED1C01" w:rsidR="00827643">
        <w:rPr>
          <w:color w:val="000000"/>
          <w:sz w:val="22"/>
          <w:szCs w:val="24"/>
        </w:rPr>
        <w:t xml:space="preserve"> </w:t>
      </w:r>
      <w:r w:rsidRPr="00ED1C01" w:rsidR="004F02A0">
        <w:rPr>
          <w:color w:val="000000"/>
          <w:sz w:val="22"/>
          <w:szCs w:val="24"/>
        </w:rPr>
        <w:t>8290 Siegen Ln., Suite A</w:t>
      </w:r>
      <w:r w:rsidRPr="00ED1C01" w:rsidR="00FD5767">
        <w:rPr>
          <w:color w:val="000000"/>
          <w:sz w:val="22"/>
          <w:szCs w:val="24"/>
        </w:rPr>
        <w:t>,</w:t>
      </w:r>
      <w:r w:rsidRPr="00ED1C01" w:rsidR="004F02A0">
        <w:rPr>
          <w:color w:val="000000"/>
          <w:sz w:val="22"/>
          <w:szCs w:val="24"/>
        </w:rPr>
        <w:t xml:space="preserve"> Baton Rouge,</w:t>
      </w:r>
      <w:r w:rsidRPr="00ED1C01" w:rsidR="00FD5767">
        <w:rPr>
          <w:color w:val="000000"/>
          <w:sz w:val="22"/>
          <w:szCs w:val="24"/>
        </w:rPr>
        <w:t xml:space="preserve"> </w:t>
      </w:r>
      <w:r w:rsidRPr="00ED1C01" w:rsidR="00F0036E">
        <w:rPr>
          <w:color w:val="000000"/>
          <w:sz w:val="22"/>
          <w:szCs w:val="24"/>
        </w:rPr>
        <w:t>Louisiana</w:t>
      </w:r>
      <w:r w:rsidRPr="00ED1C01" w:rsidR="00A013B0">
        <w:rPr>
          <w:color w:val="000000"/>
          <w:sz w:val="22"/>
          <w:szCs w:val="24"/>
        </w:rPr>
        <w:t>.  T</w:t>
      </w:r>
      <w:r w:rsidRPr="00ED1C01" w:rsidR="00F912B9">
        <w:rPr>
          <w:color w:val="000000"/>
          <w:sz w:val="22"/>
          <w:szCs w:val="24"/>
        </w:rPr>
        <w:t xml:space="preserve">he Commission’s records show </w:t>
      </w:r>
      <w:r w:rsidRPr="00ED1C01" w:rsidR="00562A00">
        <w:rPr>
          <w:color w:val="000000"/>
          <w:sz w:val="22"/>
          <w:szCs w:val="24"/>
        </w:rPr>
        <w:t>that</w:t>
      </w:r>
      <w:r w:rsidRPr="00ED1C01" w:rsidR="00562A00">
        <w:rPr>
          <w:color w:val="000000" w:themeColor="text1"/>
          <w:sz w:val="22"/>
          <w:szCs w:val="24"/>
        </w:rPr>
        <w:t xml:space="preserve"> </w:t>
      </w:r>
      <w:r w:rsidRPr="00ED1C01" w:rsidR="00F912B9">
        <w:rPr>
          <w:color w:val="000000" w:themeColor="text1"/>
          <w:sz w:val="22"/>
          <w:szCs w:val="24"/>
        </w:rPr>
        <w:t>no license</w:t>
      </w:r>
      <w:r w:rsidRPr="00ED1C01" w:rsidR="00096947">
        <w:rPr>
          <w:color w:val="000000" w:themeColor="text1"/>
          <w:sz w:val="22"/>
          <w:szCs w:val="24"/>
        </w:rPr>
        <w:t>s</w:t>
      </w:r>
      <w:r w:rsidRPr="00ED1C01" w:rsidR="00F912B9">
        <w:rPr>
          <w:color w:val="000000" w:themeColor="text1"/>
          <w:sz w:val="22"/>
          <w:szCs w:val="24"/>
        </w:rPr>
        <w:t xml:space="preserve"> </w:t>
      </w:r>
      <w:r w:rsidRPr="00ED1C01" w:rsidR="00096947">
        <w:rPr>
          <w:color w:val="000000" w:themeColor="text1"/>
          <w:sz w:val="22"/>
          <w:szCs w:val="24"/>
        </w:rPr>
        <w:t xml:space="preserve">were </w:t>
      </w:r>
      <w:r w:rsidRPr="00ED1C01" w:rsidR="00F912B9">
        <w:rPr>
          <w:color w:val="000000" w:themeColor="text1"/>
          <w:sz w:val="22"/>
          <w:szCs w:val="24"/>
        </w:rPr>
        <w:t>issued for oper</w:t>
      </w:r>
      <w:r w:rsidRPr="00ED1C01" w:rsidR="00A013B0">
        <w:rPr>
          <w:color w:val="000000" w:themeColor="text1"/>
          <w:sz w:val="22"/>
          <w:szCs w:val="24"/>
        </w:rPr>
        <w:t>ation of radio station</w:t>
      </w:r>
      <w:r w:rsidRPr="00ED1C01" w:rsidR="00062EF4">
        <w:rPr>
          <w:color w:val="000000" w:themeColor="text1"/>
          <w:sz w:val="22"/>
          <w:szCs w:val="24"/>
        </w:rPr>
        <w:t>s</w:t>
      </w:r>
      <w:r w:rsidRPr="00ED1C01" w:rsidR="00A013B0">
        <w:rPr>
          <w:color w:val="000000" w:themeColor="text1"/>
          <w:sz w:val="22"/>
          <w:szCs w:val="24"/>
        </w:rPr>
        <w:t xml:space="preserve"> on </w:t>
      </w:r>
      <w:r w:rsidR="00162C5C">
        <w:rPr>
          <w:color w:val="000000" w:themeColor="text1"/>
          <w:sz w:val="22"/>
          <w:szCs w:val="24"/>
        </w:rPr>
        <w:t>87.9 </w:t>
      </w:r>
      <w:r w:rsidRPr="00ED1C01" w:rsidR="00F912B9">
        <w:rPr>
          <w:color w:val="000000" w:themeColor="text1"/>
          <w:sz w:val="22"/>
          <w:szCs w:val="24"/>
        </w:rPr>
        <w:t>MHz</w:t>
      </w:r>
      <w:r w:rsidRPr="00ED1C01" w:rsidR="00062EF4">
        <w:rPr>
          <w:color w:val="000000" w:themeColor="text1"/>
          <w:sz w:val="22"/>
          <w:szCs w:val="24"/>
        </w:rPr>
        <w:t xml:space="preserve"> and </w:t>
      </w:r>
      <w:r w:rsidRPr="00ED1C01" w:rsidR="004E20C1">
        <w:rPr>
          <w:color w:val="000000" w:themeColor="text1"/>
          <w:sz w:val="22"/>
          <w:szCs w:val="24"/>
        </w:rPr>
        <w:t>1710</w:t>
      </w:r>
      <w:r w:rsidR="004E20C1">
        <w:rPr>
          <w:color w:val="000000" w:themeColor="text1"/>
          <w:sz w:val="22"/>
          <w:szCs w:val="24"/>
        </w:rPr>
        <w:t> </w:t>
      </w:r>
      <w:r w:rsidRPr="00ED1C01" w:rsidR="00ED1C01">
        <w:rPr>
          <w:color w:val="000000" w:themeColor="text1"/>
          <w:sz w:val="22"/>
          <w:szCs w:val="24"/>
        </w:rPr>
        <w:t>kHz</w:t>
      </w:r>
      <w:r w:rsidRPr="00ED1C01" w:rsidR="00ED1C01">
        <w:rPr>
          <w:color w:val="000000" w:themeColor="text1"/>
          <w:sz w:val="22"/>
          <w:szCs w:val="24"/>
        </w:rPr>
        <w:t xml:space="preserve"> </w:t>
      </w:r>
      <w:r w:rsidRPr="00ED1C01" w:rsidR="00F912B9">
        <w:rPr>
          <w:color w:val="000000" w:themeColor="text1"/>
          <w:sz w:val="22"/>
          <w:szCs w:val="24"/>
        </w:rPr>
        <w:t xml:space="preserve">at this location in </w:t>
      </w:r>
      <w:r w:rsidRPr="00ED1C01" w:rsidR="004F02A0">
        <w:rPr>
          <w:color w:val="000000" w:themeColor="text1"/>
          <w:sz w:val="22"/>
          <w:szCs w:val="24"/>
        </w:rPr>
        <w:t>Baton Rouge</w:t>
      </w:r>
      <w:r w:rsidRPr="00ED1C01" w:rsidR="00F0036E">
        <w:rPr>
          <w:color w:val="000000" w:themeColor="text1"/>
          <w:sz w:val="22"/>
          <w:szCs w:val="24"/>
        </w:rPr>
        <w:t>, Louisiana</w:t>
      </w:r>
      <w:r w:rsidRPr="00ED1C01" w:rsidR="00A013B0">
        <w:rPr>
          <w:color w:val="000000" w:themeColor="text1"/>
          <w:sz w:val="22"/>
          <w:szCs w:val="24"/>
        </w:rPr>
        <w:t>.</w:t>
      </w:r>
      <w:r w:rsidRPr="00ED1C01" w:rsidR="00F912B9">
        <w:rPr>
          <w:color w:val="000000" w:themeColor="text1"/>
          <w:sz w:val="22"/>
          <w:szCs w:val="24"/>
        </w:rPr>
        <w:t> </w:t>
      </w:r>
      <w:r w:rsidRPr="00ED1C01" w:rsidR="00096947">
        <w:rPr>
          <w:color w:val="000000" w:themeColor="text1"/>
          <w:sz w:val="22"/>
          <w:szCs w:val="24"/>
        </w:rPr>
        <w:t xml:space="preserve"> </w:t>
      </w:r>
      <w:r w:rsidRPr="00ED1C01" w:rsidR="00F0036E">
        <w:rPr>
          <w:color w:val="000000" w:themeColor="text1"/>
          <w:sz w:val="22"/>
          <w:szCs w:val="24"/>
        </w:rPr>
        <w:t xml:space="preserve">The New Orleans </w:t>
      </w:r>
      <w:r w:rsidRPr="00ED1C01" w:rsidR="008D3D4B">
        <w:rPr>
          <w:color w:val="000000" w:themeColor="text1"/>
          <w:sz w:val="22"/>
          <w:szCs w:val="24"/>
        </w:rPr>
        <w:t>Office investigated and determined y</w:t>
      </w:r>
      <w:r w:rsidRPr="00ED1C01" w:rsidR="00942620">
        <w:rPr>
          <w:color w:val="000000" w:themeColor="text1"/>
          <w:sz w:val="22"/>
          <w:szCs w:val="24"/>
        </w:rPr>
        <w:t>ou</w:t>
      </w:r>
      <w:r w:rsidRPr="00ED1C01" w:rsidR="007B3CBB">
        <w:rPr>
          <w:color w:val="000000" w:themeColor="text1"/>
          <w:sz w:val="22"/>
          <w:szCs w:val="24"/>
        </w:rPr>
        <w:t xml:space="preserve"> </w:t>
      </w:r>
      <w:r w:rsidRPr="00ED1C01" w:rsidR="00942620">
        <w:rPr>
          <w:color w:val="000000" w:themeColor="text1"/>
          <w:sz w:val="22"/>
          <w:szCs w:val="24"/>
        </w:rPr>
        <w:t>are</w:t>
      </w:r>
      <w:r w:rsidRPr="00ED1C01" w:rsidR="007B3CBB">
        <w:rPr>
          <w:color w:val="000000" w:themeColor="text1"/>
          <w:sz w:val="22"/>
          <w:szCs w:val="24"/>
        </w:rPr>
        <w:t xml:space="preserve"> the </w:t>
      </w:r>
      <w:r w:rsidRPr="00ED1C01" w:rsidR="006C611E">
        <w:rPr>
          <w:color w:val="000000" w:themeColor="text1"/>
          <w:sz w:val="22"/>
          <w:szCs w:val="24"/>
        </w:rPr>
        <w:t>owner</w:t>
      </w:r>
      <w:r w:rsidRPr="00ED1C01" w:rsidR="008D3D4B">
        <w:rPr>
          <w:color w:val="000000" w:themeColor="text1"/>
          <w:sz w:val="22"/>
          <w:szCs w:val="24"/>
        </w:rPr>
        <w:t xml:space="preserve"> or operator</w:t>
      </w:r>
      <w:r w:rsidRPr="00ED1C01" w:rsidR="006C611E">
        <w:rPr>
          <w:color w:val="000000" w:themeColor="text1"/>
          <w:sz w:val="22"/>
          <w:szCs w:val="24"/>
        </w:rPr>
        <w:t xml:space="preserve"> of the </w:t>
      </w:r>
      <w:r w:rsidRPr="00ED1C01" w:rsidR="0095338E">
        <w:rPr>
          <w:color w:val="000000" w:themeColor="text1"/>
          <w:sz w:val="22"/>
          <w:szCs w:val="24"/>
        </w:rPr>
        <w:t xml:space="preserve">unlicensed </w:t>
      </w:r>
      <w:r w:rsidRPr="00ED1C01" w:rsidR="006C611E">
        <w:rPr>
          <w:color w:val="000000" w:themeColor="text1"/>
          <w:sz w:val="22"/>
          <w:szCs w:val="24"/>
        </w:rPr>
        <w:t>FM station</w:t>
      </w:r>
      <w:r w:rsidRPr="00ED1C01" w:rsidR="00F0036E">
        <w:rPr>
          <w:color w:val="000000" w:themeColor="text1"/>
          <w:sz w:val="22"/>
          <w:szCs w:val="24"/>
        </w:rPr>
        <w:t xml:space="preserve"> on </w:t>
      </w:r>
      <w:r w:rsidR="00162C5C">
        <w:rPr>
          <w:color w:val="000000" w:themeColor="text1"/>
          <w:sz w:val="22"/>
          <w:szCs w:val="24"/>
        </w:rPr>
        <w:t>87.9 </w:t>
      </w:r>
      <w:r w:rsidRPr="00ED1C01" w:rsidR="0095338E">
        <w:rPr>
          <w:color w:val="000000" w:themeColor="text1"/>
          <w:sz w:val="22"/>
          <w:szCs w:val="24"/>
        </w:rPr>
        <w:t>MHz</w:t>
      </w:r>
      <w:r w:rsidRPr="00ED1C01" w:rsidR="00062EF4">
        <w:rPr>
          <w:color w:val="000000" w:themeColor="text1"/>
          <w:sz w:val="22"/>
          <w:szCs w:val="24"/>
        </w:rPr>
        <w:t xml:space="preserve"> and unlicensed AM station on 1710 </w:t>
      </w:r>
      <w:r w:rsidRPr="00ED1C01" w:rsidR="00ED1C01">
        <w:rPr>
          <w:color w:val="000000" w:themeColor="text1"/>
          <w:sz w:val="22"/>
          <w:szCs w:val="24"/>
        </w:rPr>
        <w:t>kHz</w:t>
      </w:r>
      <w:r w:rsidRPr="00ED1C01" w:rsidR="006C611E">
        <w:rPr>
          <w:color w:val="000000" w:themeColor="text1"/>
          <w:sz w:val="22"/>
          <w:szCs w:val="24"/>
        </w:rPr>
        <w:t xml:space="preserve">.  </w:t>
      </w:r>
    </w:p>
    <w:p w:rsidR="00583F77" w:rsidRPr="00ED1C01" w:rsidP="00F912B9">
      <w:pPr>
        <w:widowControl/>
        <w:tabs>
          <w:tab w:val="left" w:pos="3855"/>
        </w:tabs>
        <w:rPr>
          <w:color w:val="C00000"/>
          <w:sz w:val="22"/>
        </w:rPr>
      </w:pPr>
      <w:r w:rsidRPr="00ED1C01">
        <w:rPr>
          <w:color w:val="C00000"/>
          <w:sz w:val="22"/>
        </w:rPr>
        <w:tab/>
      </w:r>
    </w:p>
    <w:p w:rsidR="00252DB7" w:rsidRPr="00ED1C01" w:rsidP="00252DB7">
      <w:pPr>
        <w:widowControl/>
        <w:rPr>
          <w:sz w:val="22"/>
          <w:szCs w:val="24"/>
        </w:rPr>
      </w:pPr>
      <w:r w:rsidRPr="00ED1C01">
        <w:rPr>
          <w:sz w:val="22"/>
        </w:rPr>
        <w:t>Radio stations operating on a range of frequencies,</w:t>
      </w:r>
      <w:r>
        <w:rPr>
          <w:rStyle w:val="FootnoteReference"/>
          <w:sz w:val="22"/>
          <w:vertAlign w:val="superscript"/>
        </w:rPr>
        <w:footnoteReference w:id="3"/>
      </w:r>
      <w:r w:rsidRPr="00ED1C01">
        <w:rPr>
          <w:sz w:val="22"/>
        </w:rPr>
        <w:t xml:space="preserve"> </w:t>
      </w:r>
      <w:r w:rsidRPr="00ED1C01" w:rsidR="000D17B2">
        <w:rPr>
          <w:sz w:val="22"/>
        </w:rPr>
        <w:t xml:space="preserve">including </w:t>
      </w:r>
      <w:r w:rsidR="00162C5C">
        <w:rPr>
          <w:color w:val="000000" w:themeColor="text1"/>
          <w:sz w:val="22"/>
          <w:szCs w:val="24"/>
        </w:rPr>
        <w:t>87.9 </w:t>
      </w:r>
      <w:r w:rsidRPr="00ED1C01" w:rsidR="000D17B2">
        <w:rPr>
          <w:sz w:val="22"/>
        </w:rPr>
        <w:t>MHz</w:t>
      </w:r>
      <w:r w:rsidRPr="00ED1C01" w:rsidR="00062EF4">
        <w:rPr>
          <w:sz w:val="22"/>
        </w:rPr>
        <w:t xml:space="preserve"> and 1710 </w:t>
      </w:r>
      <w:r w:rsidRPr="00ED1C01" w:rsidR="00ED1C01">
        <w:rPr>
          <w:sz w:val="22"/>
        </w:rPr>
        <w:t>kHz</w:t>
      </w:r>
      <w:r w:rsidRPr="00ED1C01" w:rsidR="000D17B2">
        <w:rPr>
          <w:sz w:val="22"/>
        </w:rPr>
        <w:t>,</w:t>
      </w:r>
      <w:r w:rsidRPr="00ED1C01" w:rsidR="00D86672">
        <w:rPr>
          <w:sz w:val="22"/>
        </w:rPr>
        <w:t xml:space="preserve"> must be licensed by the FCC pursuant to </w:t>
      </w:r>
      <w:r w:rsidRPr="00ED1C01" w:rsidR="00772051">
        <w:rPr>
          <w:sz w:val="22"/>
        </w:rPr>
        <w:t>Section 301 of the Communications Act of 1934, as amended (Act).</w:t>
      </w:r>
      <w:r>
        <w:rPr>
          <w:rStyle w:val="FootnoteReference"/>
          <w:sz w:val="22"/>
          <w:vertAlign w:val="superscript"/>
        </w:rPr>
        <w:footnoteReference w:id="4"/>
      </w:r>
      <w:r w:rsidRPr="00ED1C01" w:rsidR="00772051">
        <w:rPr>
          <w:sz w:val="22"/>
        </w:rPr>
        <w:t xml:space="preserve">  </w:t>
      </w:r>
      <w:r w:rsidRPr="00ED1C01" w:rsidR="00D86672">
        <w:rPr>
          <w:sz w:val="22"/>
        </w:rPr>
        <w:t xml:space="preserve">The only exception to this licensing requirement is for certain transmitters using or operating at a power level </w:t>
      </w:r>
      <w:r w:rsidRPr="00ED1C01" w:rsidR="0031550C">
        <w:rPr>
          <w:sz w:val="22"/>
        </w:rPr>
        <w:t xml:space="preserve">or mode of operation </w:t>
      </w:r>
      <w:r w:rsidRPr="00ED1C01" w:rsidR="00D86672">
        <w:rPr>
          <w:sz w:val="22"/>
        </w:rPr>
        <w:t>that complies with the standards established in Part 15 of the Commission’s rules</w:t>
      </w:r>
      <w:r w:rsidRPr="00ED1C01" w:rsidR="00772051">
        <w:rPr>
          <w:sz w:val="22"/>
        </w:rPr>
        <w:t>.</w:t>
      </w:r>
      <w:r>
        <w:rPr>
          <w:rStyle w:val="FootnoteReference"/>
          <w:sz w:val="22"/>
          <w:vertAlign w:val="superscript"/>
        </w:rPr>
        <w:footnoteReference w:id="5"/>
      </w:r>
      <w:r w:rsidRPr="00ED1C01" w:rsidR="00D86672">
        <w:rPr>
          <w:sz w:val="22"/>
        </w:rPr>
        <w:t xml:space="preserve"> </w:t>
      </w:r>
      <w:r w:rsidRPr="00ED1C01">
        <w:rPr>
          <w:sz w:val="22"/>
        </w:rPr>
        <w:t xml:space="preserve"> </w:t>
      </w:r>
      <w:r w:rsidRPr="00ED1C01" w:rsidR="0011087F">
        <w:rPr>
          <w:sz w:val="22"/>
        </w:rPr>
        <w:t>The Agent found that the station</w:t>
      </w:r>
      <w:r w:rsidRPr="00ED1C01" w:rsidR="00075047">
        <w:rPr>
          <w:sz w:val="22"/>
        </w:rPr>
        <w:t>s</w:t>
      </w:r>
      <w:r w:rsidRPr="00ED1C01" w:rsidR="0011087F">
        <w:rPr>
          <w:sz w:val="22"/>
        </w:rPr>
        <w:t xml:space="preserve"> at your </w:t>
      </w:r>
      <w:r w:rsidR="004E20C1">
        <w:rPr>
          <w:sz w:val="22"/>
        </w:rPr>
        <w:t xml:space="preserve">location </w:t>
      </w:r>
      <w:r w:rsidRPr="00ED1C01" w:rsidR="00075047">
        <w:rPr>
          <w:sz w:val="22"/>
        </w:rPr>
        <w:t xml:space="preserve">were operating at power levels that exceed the levels permitted by Part 15.  </w:t>
      </w:r>
      <w:r w:rsidRPr="00ED1C01" w:rsidR="00075047">
        <w:rPr>
          <w:sz w:val="22"/>
          <w:szCs w:val="24"/>
        </w:rPr>
        <w:t>T</w:t>
      </w:r>
      <w:r w:rsidRPr="00ED1C01">
        <w:rPr>
          <w:sz w:val="22"/>
          <w:szCs w:val="24"/>
        </w:rPr>
        <w:t xml:space="preserve">he field strength of the signal on frequency </w:t>
      </w:r>
      <w:r w:rsidR="00162C5C">
        <w:rPr>
          <w:sz w:val="22"/>
          <w:szCs w:val="24"/>
        </w:rPr>
        <w:t>87.9 </w:t>
      </w:r>
      <w:r w:rsidRPr="00ED1C01">
        <w:rPr>
          <w:sz w:val="22"/>
          <w:szCs w:val="24"/>
        </w:rPr>
        <w:t xml:space="preserve">MHz </w:t>
      </w:r>
      <w:r w:rsidRPr="00ED1C01" w:rsidR="00075047">
        <w:rPr>
          <w:sz w:val="22"/>
          <w:szCs w:val="24"/>
        </w:rPr>
        <w:t xml:space="preserve">was measured at levels exceeding </w:t>
      </w:r>
      <w:r w:rsidRPr="00ED1C01" w:rsidR="002A62D7">
        <w:rPr>
          <w:sz w:val="22"/>
          <w:szCs w:val="24"/>
        </w:rPr>
        <w:t xml:space="preserve">the maximum permitted level of </w:t>
      </w:r>
      <w:r w:rsidR="00162C5C">
        <w:rPr>
          <w:sz w:val="22"/>
          <w:szCs w:val="24"/>
        </w:rPr>
        <w:t>100</w:t>
      </w:r>
      <w:r w:rsidRPr="00ED1C01" w:rsidR="00162C5C">
        <w:rPr>
          <w:sz w:val="22"/>
          <w:szCs w:val="24"/>
        </w:rPr>
        <w:t xml:space="preserve"> </w:t>
      </w:r>
      <w:r w:rsidRPr="00ED1C01">
        <w:rPr>
          <w:sz w:val="22"/>
          <w:szCs w:val="24"/>
        </w:rPr>
        <w:t>microvolts per meter (µV/m) at 3 meters for non-licensed devices</w:t>
      </w:r>
      <w:r w:rsidRPr="00ED1C01" w:rsidR="00075047">
        <w:rPr>
          <w:sz w:val="22"/>
          <w:szCs w:val="24"/>
        </w:rPr>
        <w:t xml:space="preserve"> operating between </w:t>
      </w:r>
      <w:r w:rsidR="00162C5C">
        <w:rPr>
          <w:sz w:val="22"/>
          <w:szCs w:val="24"/>
        </w:rPr>
        <w:t>30</w:t>
      </w:r>
      <w:r w:rsidRPr="00ED1C01" w:rsidR="00075047">
        <w:rPr>
          <w:sz w:val="22"/>
          <w:szCs w:val="24"/>
        </w:rPr>
        <w:t xml:space="preserve"> and </w:t>
      </w:r>
      <w:r w:rsidR="00162C5C">
        <w:rPr>
          <w:sz w:val="22"/>
          <w:szCs w:val="24"/>
        </w:rPr>
        <w:t>88</w:t>
      </w:r>
      <w:r w:rsidRPr="00ED1C01" w:rsidR="00075047">
        <w:rPr>
          <w:sz w:val="22"/>
          <w:szCs w:val="24"/>
        </w:rPr>
        <w:t> </w:t>
      </w:r>
      <w:r w:rsidRPr="00ED1C01" w:rsidR="00075047">
        <w:rPr>
          <w:sz w:val="22"/>
          <w:szCs w:val="24"/>
        </w:rPr>
        <w:t>MHz.</w:t>
      </w:r>
      <w:r w:rsidRPr="00ED1C01" w:rsidR="00075047">
        <w:rPr>
          <w:sz w:val="22"/>
          <w:szCs w:val="24"/>
        </w:rPr>
        <w:t xml:space="preserve">  The </w:t>
      </w:r>
      <w:r w:rsidRPr="00ED1C01" w:rsidR="00062EF4">
        <w:rPr>
          <w:sz w:val="22"/>
          <w:szCs w:val="24"/>
        </w:rPr>
        <w:t xml:space="preserve">field strength of the signal on frequency 1710 </w:t>
      </w:r>
      <w:r w:rsidRPr="00ED1C01" w:rsidR="00ED1C01">
        <w:rPr>
          <w:sz w:val="22"/>
          <w:szCs w:val="24"/>
        </w:rPr>
        <w:t xml:space="preserve">kHz </w:t>
      </w:r>
      <w:r w:rsidRPr="00ED1C01" w:rsidR="00075047">
        <w:rPr>
          <w:sz w:val="22"/>
          <w:szCs w:val="24"/>
        </w:rPr>
        <w:t xml:space="preserve">was measured at levels exceeding </w:t>
      </w:r>
      <w:r w:rsidRPr="00ED1C01" w:rsidR="00062EF4">
        <w:rPr>
          <w:sz w:val="22"/>
          <w:szCs w:val="24"/>
        </w:rPr>
        <w:t>the maximum permitted level of 30</w:t>
      </w:r>
      <w:r w:rsidRPr="00ED1C01" w:rsidR="00096947">
        <w:rPr>
          <w:sz w:val="22"/>
          <w:szCs w:val="24"/>
        </w:rPr>
        <w:t xml:space="preserve"> µV/m</w:t>
      </w:r>
      <w:r w:rsidRPr="00ED1C01" w:rsidR="00062EF4">
        <w:rPr>
          <w:sz w:val="22"/>
          <w:szCs w:val="24"/>
        </w:rPr>
        <w:t xml:space="preserve"> at 30 meters for non-licensed devices</w:t>
      </w:r>
      <w:r w:rsidRPr="00ED1C01" w:rsidR="00075047">
        <w:rPr>
          <w:sz w:val="22"/>
          <w:szCs w:val="24"/>
        </w:rPr>
        <w:t xml:space="preserve"> operating between 1705 </w:t>
      </w:r>
      <w:r w:rsidRPr="00ED1C01" w:rsidR="00ED1C01">
        <w:rPr>
          <w:sz w:val="22"/>
          <w:szCs w:val="24"/>
        </w:rPr>
        <w:t>k</w:t>
      </w:r>
      <w:r w:rsidRPr="00ED1C01" w:rsidR="00075047">
        <w:rPr>
          <w:sz w:val="22"/>
          <w:szCs w:val="24"/>
        </w:rPr>
        <w:t>Hz and 30 </w:t>
      </w:r>
      <w:r w:rsidRPr="00ED1C01" w:rsidR="00075047">
        <w:rPr>
          <w:sz w:val="22"/>
          <w:szCs w:val="24"/>
        </w:rPr>
        <w:t>MHz</w:t>
      </w:r>
      <w:r w:rsidRPr="00ED1C01" w:rsidR="00096947">
        <w:rPr>
          <w:sz w:val="22"/>
          <w:szCs w:val="24"/>
        </w:rPr>
        <w:t>.</w:t>
      </w:r>
      <w:r w:rsidRPr="00ED1C01" w:rsidR="00062EF4">
        <w:rPr>
          <w:sz w:val="22"/>
          <w:szCs w:val="24"/>
        </w:rPr>
        <w:t xml:space="preserve"> </w:t>
      </w:r>
      <w:r w:rsidRPr="00ED1C01" w:rsidR="00096947">
        <w:rPr>
          <w:sz w:val="22"/>
          <w:szCs w:val="24"/>
        </w:rPr>
        <w:t xml:space="preserve"> </w:t>
      </w:r>
      <w:r w:rsidRPr="00ED1C01" w:rsidR="00075047">
        <w:rPr>
          <w:sz w:val="22"/>
          <w:szCs w:val="24"/>
        </w:rPr>
        <w:t>Therefore</w:t>
      </w:r>
      <w:r w:rsidRPr="00ED1C01">
        <w:rPr>
          <w:sz w:val="22"/>
          <w:szCs w:val="24"/>
        </w:rPr>
        <w:t>, th</w:t>
      </w:r>
      <w:r w:rsidRPr="00ED1C01" w:rsidR="00062EF4">
        <w:rPr>
          <w:sz w:val="22"/>
          <w:szCs w:val="24"/>
        </w:rPr>
        <w:t>e</w:t>
      </w:r>
      <w:r w:rsidRPr="00ED1C01">
        <w:rPr>
          <w:sz w:val="22"/>
          <w:szCs w:val="24"/>
        </w:rPr>
        <w:t xml:space="preserve"> station</w:t>
      </w:r>
      <w:r w:rsidRPr="00ED1C01" w:rsidR="00062EF4">
        <w:rPr>
          <w:sz w:val="22"/>
          <w:szCs w:val="24"/>
        </w:rPr>
        <w:t>s</w:t>
      </w:r>
      <w:r w:rsidRPr="00ED1C01">
        <w:rPr>
          <w:sz w:val="22"/>
          <w:szCs w:val="24"/>
        </w:rPr>
        <w:t xml:space="preserve"> </w:t>
      </w:r>
      <w:r w:rsidRPr="00ED1C01" w:rsidR="00062EF4">
        <w:rPr>
          <w:sz w:val="22"/>
          <w:szCs w:val="24"/>
        </w:rPr>
        <w:t xml:space="preserve">are </w:t>
      </w:r>
      <w:r w:rsidRPr="00ED1C01">
        <w:rPr>
          <w:sz w:val="22"/>
          <w:szCs w:val="24"/>
        </w:rPr>
        <w:t>operating in violation of Section 301 of the Act.</w:t>
      </w:r>
      <w:r>
        <w:rPr>
          <w:rStyle w:val="FootnoteReference"/>
          <w:sz w:val="22"/>
          <w:szCs w:val="24"/>
          <w:vertAlign w:val="superscript"/>
        </w:rPr>
        <w:footnoteReference w:id="6"/>
      </w:r>
      <w:r w:rsidRPr="00ED1C01">
        <w:rPr>
          <w:sz w:val="22"/>
          <w:szCs w:val="24"/>
        </w:rPr>
        <w:t xml:space="preserve">  </w:t>
      </w:r>
    </w:p>
    <w:p w:rsidR="00252DB7" w:rsidRPr="00ED1C01" w:rsidP="005176BA">
      <w:pPr>
        <w:widowControl/>
        <w:rPr>
          <w:sz w:val="22"/>
          <w:szCs w:val="24"/>
        </w:rPr>
      </w:pPr>
    </w:p>
    <w:p w:rsidR="00D86672" w:rsidRPr="00ED1C01" w:rsidP="00D86672">
      <w:pPr>
        <w:widowControl/>
        <w:rPr>
          <w:sz w:val="22"/>
          <w:szCs w:val="24"/>
        </w:rPr>
      </w:pPr>
      <w:r w:rsidRPr="00ED1C01">
        <w:rPr>
          <w:sz w:val="22"/>
        </w:rPr>
        <w:t xml:space="preserve">You are hereby warned that operation of radio transmitting equipment without a valid radio station authorization constitutes a violation of the Federal laws cited above and could subject the operator to </w:t>
      </w:r>
      <w:r w:rsidRPr="00ED1C01">
        <w:rPr>
          <w:sz w:val="22"/>
        </w:rPr>
        <w:t xml:space="preserve">severe penalties, </w:t>
      </w:r>
      <w:r w:rsidRPr="00ED1C01">
        <w:rPr>
          <w:sz w:val="22"/>
          <w:szCs w:val="24"/>
        </w:rPr>
        <w:t xml:space="preserve">including, but not limited to, substantial monetary </w:t>
      </w:r>
      <w:r w:rsidRPr="00ED1C01" w:rsidR="0031550C">
        <w:rPr>
          <w:sz w:val="22"/>
          <w:szCs w:val="24"/>
        </w:rPr>
        <w:t xml:space="preserve">fines, </w:t>
      </w:r>
      <w:r w:rsidRPr="00ED1C01">
        <w:rPr>
          <w:i/>
          <w:sz w:val="22"/>
          <w:szCs w:val="24"/>
        </w:rPr>
        <w:t>in rem</w:t>
      </w:r>
      <w:r w:rsidRPr="00ED1C01">
        <w:rPr>
          <w:sz w:val="22"/>
          <w:szCs w:val="24"/>
        </w:rPr>
        <w:t xml:space="preserve"> arrest action against the offending radio equipment, and criminal sanctions</w:t>
      </w:r>
      <w:r w:rsidRPr="00ED1C01" w:rsidR="00772051">
        <w:rPr>
          <w:sz w:val="22"/>
          <w:szCs w:val="24"/>
        </w:rPr>
        <w:t>,</w:t>
      </w:r>
      <w:r w:rsidRPr="00ED1C01">
        <w:rPr>
          <w:sz w:val="22"/>
          <w:szCs w:val="24"/>
        </w:rPr>
        <w:t xml:space="preserve"> including imprisonment.</w:t>
      </w:r>
      <w:r>
        <w:rPr>
          <w:rStyle w:val="FootnoteReference"/>
          <w:sz w:val="22"/>
          <w:szCs w:val="24"/>
          <w:vertAlign w:val="superscript"/>
        </w:rPr>
        <w:footnoteReference w:id="7"/>
      </w:r>
      <w:r w:rsidRPr="00ED1C01">
        <w:rPr>
          <w:sz w:val="22"/>
          <w:szCs w:val="24"/>
        </w:rPr>
        <w:t xml:space="preserve">  </w:t>
      </w:r>
    </w:p>
    <w:p w:rsidR="00D86672" w:rsidRPr="00ED1C01" w:rsidP="00D86672">
      <w:pPr>
        <w:widowControl/>
        <w:rPr>
          <w:sz w:val="22"/>
        </w:rPr>
      </w:pPr>
    </w:p>
    <w:p w:rsidR="00090CC2" w:rsidRPr="00ED1C01" w:rsidP="00D86672">
      <w:pPr>
        <w:widowControl/>
        <w:rPr>
          <w:b/>
          <w:sz w:val="22"/>
        </w:rPr>
      </w:pPr>
      <w:r w:rsidRPr="00ED1C01">
        <w:rPr>
          <w:b/>
          <w:sz w:val="22"/>
        </w:rPr>
        <w:t>UNLICENSED OPERATION OF TH</w:t>
      </w:r>
      <w:r w:rsidRPr="00ED1C01" w:rsidR="00096947">
        <w:rPr>
          <w:b/>
          <w:sz w:val="22"/>
        </w:rPr>
        <w:t>ESE</w:t>
      </w:r>
      <w:r w:rsidRPr="00ED1C01">
        <w:rPr>
          <w:b/>
          <w:sz w:val="22"/>
        </w:rPr>
        <w:t xml:space="preserve"> RADIO STATION</w:t>
      </w:r>
      <w:r w:rsidRPr="00ED1C01" w:rsidR="00096947">
        <w:rPr>
          <w:b/>
          <w:sz w:val="22"/>
        </w:rPr>
        <w:t>S</w:t>
      </w:r>
      <w:r w:rsidRPr="00ED1C01">
        <w:rPr>
          <w:b/>
          <w:sz w:val="22"/>
        </w:rPr>
        <w:t xml:space="preserve"> MUST BE DISCONTINUED IMMEDIATELY AND MUST NOT RESUME.</w:t>
      </w:r>
    </w:p>
    <w:p w:rsidR="00B416C6" w:rsidRPr="00ED1C01" w:rsidP="00D86672">
      <w:pPr>
        <w:widowControl/>
        <w:rPr>
          <w:sz w:val="22"/>
        </w:rPr>
      </w:pPr>
    </w:p>
    <w:p w:rsidR="00D86672" w:rsidRPr="00ED1C01" w:rsidP="00D86672">
      <w:pPr>
        <w:widowControl/>
        <w:rPr>
          <w:sz w:val="22"/>
        </w:rPr>
      </w:pPr>
      <w:r w:rsidRPr="00ED1C01">
        <w:rPr>
          <w:sz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vertAlign w:val="superscript"/>
        </w:rPr>
        <w:footnoteReference w:id="8"/>
      </w:r>
      <w:r w:rsidRPr="00ED1C01">
        <w:rPr>
          <w:sz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ED1C01" w:rsidP="00D86672">
      <w:pPr>
        <w:widowControl/>
        <w:rPr>
          <w:sz w:val="22"/>
        </w:rPr>
      </w:pPr>
    </w:p>
    <w:p w:rsidR="009B5AFA" w:rsidRPr="00ED1C01" w:rsidP="00117E88">
      <w:pPr>
        <w:widowControl/>
        <w:tabs>
          <w:tab w:val="left" w:pos="-360"/>
        </w:tabs>
        <w:rPr>
          <w:sz w:val="22"/>
        </w:rPr>
      </w:pPr>
      <w:r w:rsidRPr="00ED1C01">
        <w:rPr>
          <w:sz w:val="22"/>
        </w:rPr>
        <w:t>You may contact this office if you have any questions.</w:t>
      </w:r>
    </w:p>
    <w:p w:rsidR="00ED31F9" w:rsidP="00117E88">
      <w:pPr>
        <w:widowControl/>
        <w:tabs>
          <w:tab w:val="left" w:pos="-360"/>
        </w:tabs>
        <w:rPr>
          <w:noProof/>
          <w:snapToGrid/>
          <w:sz w:val="22"/>
        </w:rPr>
      </w:pPr>
    </w:p>
    <w:p w:rsidR="00712A0B" w:rsidRPr="00ED1C01" w:rsidP="00117E88">
      <w:pPr>
        <w:widowControl/>
        <w:tabs>
          <w:tab w:val="left" w:pos="-360"/>
        </w:tabs>
        <w:rPr>
          <w:noProof/>
          <w:snapToGrid/>
          <w:sz w:val="22"/>
        </w:rPr>
      </w:pPr>
      <w:bookmarkStart w:id="0" w:name="_GoBack"/>
      <w:bookmarkEnd w:id="0"/>
    </w:p>
    <w:p w:rsidR="00F0036E" w:rsidRPr="00ED1C01" w:rsidP="00F0036E">
      <w:pPr>
        <w:tabs>
          <w:tab w:val="left" w:pos="-360"/>
        </w:tabs>
        <w:jc w:val="both"/>
        <w:rPr>
          <w:snapToGrid/>
          <w:sz w:val="22"/>
          <w:szCs w:val="24"/>
        </w:rPr>
      </w:pPr>
      <w:r w:rsidRPr="00ED1C01">
        <w:rPr>
          <w:sz w:val="22"/>
          <w:szCs w:val="24"/>
        </w:rPr>
        <w:t>Ronald D. Ramage</w:t>
      </w:r>
    </w:p>
    <w:p w:rsidR="00F0036E" w:rsidRPr="00ED1C01" w:rsidP="00F0036E">
      <w:pPr>
        <w:suppressAutoHyphens/>
        <w:rPr>
          <w:sz w:val="22"/>
          <w:szCs w:val="24"/>
        </w:rPr>
      </w:pPr>
      <w:r w:rsidRPr="00ED1C01">
        <w:rPr>
          <w:sz w:val="22"/>
          <w:szCs w:val="24"/>
        </w:rPr>
        <w:t>Regional Director</w:t>
      </w:r>
    </w:p>
    <w:p w:rsidR="00F0036E" w:rsidRPr="00ED1C01" w:rsidP="00F0036E">
      <w:pPr>
        <w:suppressAutoHyphens/>
        <w:rPr>
          <w:sz w:val="22"/>
          <w:szCs w:val="24"/>
        </w:rPr>
      </w:pPr>
      <w:r w:rsidRPr="00ED1C01">
        <w:rPr>
          <w:sz w:val="22"/>
          <w:szCs w:val="24"/>
        </w:rPr>
        <w:t>Region Two</w:t>
      </w:r>
    </w:p>
    <w:p w:rsidR="00F0036E" w:rsidRPr="00ED1C01" w:rsidP="00F0036E">
      <w:pPr>
        <w:suppressAutoHyphens/>
        <w:rPr>
          <w:sz w:val="22"/>
          <w:szCs w:val="24"/>
        </w:rPr>
      </w:pPr>
      <w:r w:rsidRPr="00ED1C01">
        <w:rPr>
          <w:sz w:val="22"/>
          <w:szCs w:val="24"/>
        </w:rPr>
        <w:t>Enforcement Bureau</w:t>
      </w:r>
    </w:p>
    <w:p w:rsidR="00797E9E" w:rsidRPr="00ED1C01" w:rsidP="00F0036E">
      <w:pPr>
        <w:suppressAutoHyphens/>
        <w:rPr>
          <w:sz w:val="22"/>
          <w:szCs w:val="24"/>
        </w:rPr>
      </w:pPr>
      <w:r w:rsidRPr="00ED1C01">
        <w:rPr>
          <w:sz w:val="22"/>
          <w:szCs w:val="24"/>
        </w:rPr>
        <w:t xml:space="preserve">Federal Communications Commission </w:t>
      </w:r>
    </w:p>
    <w:p w:rsidR="006C6C0D" w:rsidRPr="00ED1C01" w:rsidP="00E50576">
      <w:pPr>
        <w:suppressAutoHyphens/>
        <w:rPr>
          <w:sz w:val="16"/>
        </w:rPr>
      </w:pPr>
    </w:p>
    <w:p w:rsidR="006C6C0D" w:rsidRPr="00ED1C01" w:rsidP="00E50576">
      <w:pPr>
        <w:suppressAutoHyphens/>
        <w:rPr>
          <w:sz w:val="16"/>
        </w:rPr>
      </w:pPr>
    </w:p>
    <w:p w:rsidR="006C6C0D" w:rsidRPr="00ED1C01" w:rsidP="00E50576">
      <w:pPr>
        <w:suppressAutoHyphens/>
        <w:rPr>
          <w:sz w:val="16"/>
        </w:rPr>
      </w:pPr>
    </w:p>
    <w:p w:rsidR="006C6C0D" w:rsidRPr="00ED1C01" w:rsidP="00E50576">
      <w:pPr>
        <w:suppressAutoHyphens/>
        <w:rPr>
          <w:sz w:val="22"/>
          <w:szCs w:val="24"/>
        </w:rPr>
      </w:pPr>
    </w:p>
    <w:p w:rsidR="006C6C0D" w:rsidRPr="00ED1C01" w:rsidP="00E50576">
      <w:pPr>
        <w:suppressAutoHyphens/>
        <w:rPr>
          <w:sz w:val="22"/>
          <w:szCs w:val="24"/>
        </w:rPr>
      </w:pPr>
    </w:p>
    <w:p w:rsidR="00926B73" w:rsidRPr="00ED1C01" w:rsidP="00926B73">
      <w:pPr>
        <w:suppressAutoHyphens/>
        <w:rPr>
          <w:sz w:val="22"/>
          <w:szCs w:val="24"/>
        </w:rPr>
      </w:pPr>
      <w:r w:rsidRPr="00ED1C01">
        <w:rPr>
          <w:sz w:val="22"/>
          <w:szCs w:val="24"/>
        </w:rPr>
        <w:t>Attachments:</w:t>
      </w:r>
    </w:p>
    <w:p w:rsidR="00926B73" w:rsidRPr="00ED1C01" w:rsidP="00926B73">
      <w:pPr>
        <w:suppressAutoHyphens/>
        <w:rPr>
          <w:sz w:val="22"/>
          <w:szCs w:val="24"/>
        </w:rPr>
      </w:pPr>
      <w:r w:rsidRPr="00ED1C01">
        <w:rPr>
          <w:sz w:val="22"/>
          <w:szCs w:val="24"/>
        </w:rPr>
        <w:tab/>
        <w:t>Excerpts from the Communications Act of 1934, As Amended</w:t>
      </w:r>
    </w:p>
    <w:p w:rsidR="00926B73" w:rsidRPr="00ED1C01" w:rsidP="00926B73">
      <w:pPr>
        <w:suppressAutoHyphens/>
        <w:rPr>
          <w:sz w:val="22"/>
          <w:szCs w:val="24"/>
        </w:rPr>
      </w:pPr>
      <w:r w:rsidRPr="00ED1C01">
        <w:rPr>
          <w:sz w:val="22"/>
          <w:szCs w:val="24"/>
        </w:rPr>
        <w:tab/>
        <w:t>Enforcement Bureau, "Inspection Fact Sheet", March 2005</w:t>
      </w:r>
    </w:p>
    <w:p w:rsidR="006C6C0D" w:rsidRPr="00FD516A" w:rsidP="00E50576">
      <w:pPr>
        <w:suppressAutoHyphens/>
        <w:rPr>
          <w:szCs w:val="24"/>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4034">
      <w:r>
        <w:separator/>
      </w:r>
    </w:p>
  </w:footnote>
  <w:footnote w:type="continuationSeparator" w:id="1">
    <w:p w:rsidR="00314034">
      <w:r>
        <w:continuationSeparator/>
      </w:r>
    </w:p>
  </w:footnote>
  <w:footnote w:type="continuationNotice" w:id="2">
    <w:p w:rsidR="00314034"/>
  </w:footnote>
  <w:footnote w:id="3">
    <w:p w:rsidR="00D51760" w:rsidP="00D51760">
      <w:pPr>
        <w:pStyle w:val="FootnoteText"/>
        <w:spacing w:after="120"/>
      </w:pPr>
      <w:r w:rsidRPr="00494AF2">
        <w:rPr>
          <w:rStyle w:val="FootnoteReference"/>
          <w:vertAlign w:val="superscript"/>
        </w:rPr>
        <w:footnoteRef/>
      </w:r>
      <w:r>
        <w:t xml:space="preserve"> </w:t>
      </w:r>
      <w:r w:rsidRPr="004E291F">
        <w:t xml:space="preserve">47 </w:t>
      </w:r>
      <w:r>
        <w:t>CFR §</w:t>
      </w:r>
      <w:r w:rsidR="0011087F">
        <w:t>§</w:t>
      </w:r>
      <w:r>
        <w:t xml:space="preserve"> </w:t>
      </w:r>
      <w:r w:rsidR="0011087F">
        <w:t xml:space="preserve">73.25-73.27 and </w:t>
      </w:r>
      <w:r>
        <w:t>73.201.</w:t>
      </w:r>
    </w:p>
  </w:footnote>
  <w:footnote w:id="4">
    <w:p w:rsidR="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52DB7" w:rsidP="00252DB7">
      <w:pPr>
        <w:pStyle w:val="FootnoteText"/>
      </w:pPr>
      <w:r w:rsidRPr="00B26F3D">
        <w:rPr>
          <w:rStyle w:val="FootnoteReference"/>
          <w:vertAlign w:val="superscript"/>
        </w:rPr>
        <w:footnoteRef/>
      </w:r>
      <w:r w:rsidRPr="00B26F3D">
        <w:rPr>
          <w:vertAlign w:val="superscript"/>
        </w:rPr>
        <w:t xml:space="preserve"> </w:t>
      </w:r>
      <w:r w:rsidRPr="00331AE9">
        <w:rPr>
          <w:szCs w:val="24"/>
        </w:rPr>
        <w:t>47 U.S.C. § 301.</w:t>
      </w:r>
    </w:p>
  </w:footnote>
  <w:footnote w:id="7">
    <w:p w:rsidR="00816028" w:rsidP="00D1787E">
      <w:pPr>
        <w:pStyle w:val="FootnoteText"/>
        <w:spacing w:before="120"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51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