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PROPOSES </w:t>
            </w:r>
            <w:r w:rsidR="00927F45">
              <w:rPr>
                <w:b/>
                <w:bCs/>
                <w:sz w:val="26"/>
                <w:szCs w:val="26"/>
              </w:rPr>
              <w:t xml:space="preserve">$2.8 MILLION </w:t>
            </w:r>
            <w:r>
              <w:rPr>
                <w:b/>
                <w:bCs/>
                <w:sz w:val="26"/>
                <w:szCs w:val="26"/>
              </w:rPr>
              <w:t xml:space="preserve">FINE AGAINST HOBBYKING </w:t>
            </w:r>
            <w:r w:rsidR="00927F45">
              <w:rPr>
                <w:b/>
                <w:bCs/>
                <w:sz w:val="26"/>
                <w:szCs w:val="26"/>
              </w:rPr>
              <w:t>FOR MARKETING NONCOMPLIANT DRONE TRANSMITTERS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Drone Video </w:t>
            </w:r>
            <w:r w:rsidR="00170AFB">
              <w:rPr>
                <w:b/>
                <w:bCs/>
                <w:i/>
              </w:rPr>
              <w:t>Transmitters</w:t>
            </w:r>
            <w:r w:rsidR="00927F45">
              <w:rPr>
                <w:b/>
                <w:bCs/>
                <w:i/>
              </w:rPr>
              <w:t xml:space="preserve"> </w:t>
            </w:r>
            <w:r w:rsidR="00170AFB">
              <w:rPr>
                <w:b/>
                <w:bCs/>
                <w:i/>
              </w:rPr>
              <w:t xml:space="preserve">Could </w:t>
            </w:r>
            <w:r>
              <w:rPr>
                <w:b/>
                <w:bCs/>
                <w:i/>
              </w:rPr>
              <w:t xml:space="preserve">Apparently </w:t>
            </w:r>
            <w:r w:rsidR="00170AFB">
              <w:rPr>
                <w:b/>
                <w:bCs/>
                <w:i/>
              </w:rPr>
              <w:t>Operate in Radio Frequency Bands Not Designated for Amateur Use &amp; Transmit at Disruptive Power Levels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E07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June 7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proposed a $2.8 million fine against HobbyKing for marketing </w:t>
            </w:r>
            <w:r w:rsidR="006654CD">
              <w:rPr>
                <w:sz w:val="22"/>
                <w:szCs w:val="22"/>
              </w:rPr>
              <w:t xml:space="preserve">sixty-five </w:t>
            </w:r>
            <w:r w:rsidR="00FB0430">
              <w:rPr>
                <w:sz w:val="22"/>
                <w:szCs w:val="22"/>
              </w:rPr>
              <w:t xml:space="preserve">models of </w:t>
            </w:r>
            <w:r w:rsidR="006654CD">
              <w:rPr>
                <w:sz w:val="22"/>
                <w:szCs w:val="22"/>
              </w:rPr>
              <w:t xml:space="preserve">devices </w:t>
            </w:r>
            <w:r>
              <w:rPr>
                <w:sz w:val="22"/>
                <w:szCs w:val="22"/>
              </w:rPr>
              <w:t xml:space="preserve">used </w:t>
            </w:r>
            <w:r w:rsidR="00742411">
              <w:rPr>
                <w:sz w:val="22"/>
                <w:szCs w:val="22"/>
              </w:rPr>
              <w:t xml:space="preserve">to relay video from drones to </w:t>
            </w:r>
            <w:r w:rsidR="00CA3878">
              <w:rPr>
                <w:sz w:val="22"/>
                <w:szCs w:val="22"/>
              </w:rPr>
              <w:t>amateur drone</w:t>
            </w:r>
            <w:r w:rsidR="00742411">
              <w:rPr>
                <w:sz w:val="22"/>
                <w:szCs w:val="22"/>
              </w:rPr>
              <w:t xml:space="preserve"> operators</w:t>
            </w:r>
            <w:r>
              <w:rPr>
                <w:sz w:val="22"/>
                <w:szCs w:val="22"/>
              </w:rPr>
              <w:t xml:space="preserve"> which </w:t>
            </w:r>
            <w:r w:rsidR="00C9098A">
              <w:rPr>
                <w:sz w:val="22"/>
                <w:szCs w:val="22"/>
              </w:rPr>
              <w:t>could apparent</w:t>
            </w:r>
            <w:r w:rsidR="00EB195B">
              <w:rPr>
                <w:sz w:val="22"/>
                <w:szCs w:val="22"/>
              </w:rPr>
              <w:t>ly</w:t>
            </w:r>
            <w:r w:rsidR="00C9098A">
              <w:rPr>
                <w:sz w:val="22"/>
                <w:szCs w:val="22"/>
              </w:rPr>
              <w:t xml:space="preserve"> </w:t>
            </w:r>
            <w:r w:rsidR="00FB0430">
              <w:rPr>
                <w:sz w:val="22"/>
                <w:szCs w:val="22"/>
              </w:rPr>
              <w:t>transmit in</w:t>
            </w:r>
            <w:r>
              <w:rPr>
                <w:sz w:val="22"/>
                <w:szCs w:val="22"/>
              </w:rPr>
              <w:t xml:space="preserve"> unauthorized radio frequency bands</w:t>
            </w:r>
            <w:r w:rsidR="006654CD">
              <w:rPr>
                <w:sz w:val="22"/>
                <w:szCs w:val="22"/>
              </w:rPr>
              <w:t>, including some that could also operate</w:t>
            </w:r>
            <w:r w:rsidR="00742411">
              <w:rPr>
                <w:sz w:val="22"/>
                <w:szCs w:val="22"/>
              </w:rPr>
              <w:t xml:space="preserve"> at excessive transmission power levels</w:t>
            </w:r>
            <w:r>
              <w:rPr>
                <w:sz w:val="22"/>
                <w:szCs w:val="22"/>
              </w:rPr>
              <w:t xml:space="preserve">. </w:t>
            </w:r>
            <w:r w:rsidR="00742411">
              <w:rPr>
                <w:sz w:val="22"/>
                <w:szCs w:val="22"/>
              </w:rPr>
              <w:t xml:space="preserve"> </w:t>
            </w:r>
            <w:r w:rsidR="0081386B">
              <w:rPr>
                <w:sz w:val="22"/>
                <w:szCs w:val="22"/>
              </w:rPr>
              <w:t>Such unlawful transmissions could interfere with key government and public safety services like</w:t>
            </w:r>
            <w:r w:rsidR="00D15595">
              <w:rPr>
                <w:sz w:val="22"/>
                <w:szCs w:val="22"/>
              </w:rPr>
              <w:t xml:space="preserve"> aviation systems and</w:t>
            </w:r>
            <w:r w:rsidR="0081386B">
              <w:rPr>
                <w:sz w:val="22"/>
                <w:szCs w:val="22"/>
              </w:rPr>
              <w:t xml:space="preserve"> weather radar systems.  </w:t>
            </w:r>
          </w:p>
          <w:p w:rsidR="00FE07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4241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Through its website HobbyKing.com, </w:t>
            </w:r>
            <w:r>
              <w:rPr>
                <w:sz w:val="22"/>
                <w:szCs w:val="22"/>
              </w:rPr>
              <w:t>HobbyKing</w:t>
            </w:r>
            <w:r w:rsidR="00C9098A">
              <w:rPr>
                <w:sz w:val="22"/>
                <w:szCs w:val="22"/>
              </w:rPr>
              <w:t xml:space="preserve"> </w:t>
            </w:r>
            <w:r w:rsidR="00B60268">
              <w:rPr>
                <w:sz w:val="22"/>
                <w:szCs w:val="22"/>
              </w:rPr>
              <w:t>markets devices that provide a video link between</w:t>
            </w:r>
            <w:r w:rsidR="00CA3878">
              <w:rPr>
                <w:sz w:val="22"/>
                <w:szCs w:val="22"/>
              </w:rPr>
              <w:t xml:space="preserve"> transmitters mounted on</w:t>
            </w:r>
            <w:r w:rsidR="00B60268">
              <w:rPr>
                <w:sz w:val="22"/>
                <w:szCs w:val="22"/>
              </w:rPr>
              <w:t xml:space="preserve"> unmanned aircraft systems and </w:t>
            </w:r>
            <w:r w:rsidR="00D15595">
              <w:rPr>
                <w:sz w:val="22"/>
                <w:szCs w:val="22"/>
              </w:rPr>
              <w:t xml:space="preserve">users </w:t>
            </w:r>
            <w:r w:rsidR="00B60268">
              <w:rPr>
                <w:sz w:val="22"/>
                <w:szCs w:val="22"/>
              </w:rPr>
              <w:t xml:space="preserve">flying drones.  </w:t>
            </w:r>
            <w:r w:rsidR="00122207">
              <w:rPr>
                <w:sz w:val="22"/>
                <w:szCs w:val="22"/>
              </w:rPr>
              <w:t xml:space="preserve">While HobbyKing </w:t>
            </w:r>
            <w:r w:rsidR="00402A27">
              <w:rPr>
                <w:sz w:val="22"/>
                <w:szCs w:val="22"/>
              </w:rPr>
              <w:t xml:space="preserve">represented </w:t>
            </w:r>
            <w:r w:rsidR="00122207">
              <w:rPr>
                <w:sz w:val="22"/>
                <w:szCs w:val="22"/>
              </w:rPr>
              <w:t xml:space="preserve">that its transmitters operated in designated amateur radio bands, the FCC’s investigation found that </w:t>
            </w:r>
            <w:r w:rsidR="00CA3878">
              <w:rPr>
                <w:sz w:val="22"/>
                <w:szCs w:val="22"/>
              </w:rPr>
              <w:t>sixty-five</w:t>
            </w:r>
            <w:r w:rsidR="00122207">
              <w:rPr>
                <w:sz w:val="22"/>
                <w:szCs w:val="22"/>
              </w:rPr>
              <w:t xml:space="preserve"> </w:t>
            </w:r>
            <w:r w:rsidR="00FB0430">
              <w:rPr>
                <w:sz w:val="22"/>
                <w:szCs w:val="22"/>
              </w:rPr>
              <w:t xml:space="preserve">models of </w:t>
            </w:r>
            <w:r w:rsidR="00122207">
              <w:rPr>
                <w:sz w:val="22"/>
                <w:szCs w:val="22"/>
              </w:rPr>
              <w:t>devices</w:t>
            </w:r>
            <w:r w:rsidR="00CA3878">
              <w:rPr>
                <w:sz w:val="22"/>
                <w:szCs w:val="22"/>
              </w:rPr>
              <w:t xml:space="preserve"> marketed by HobbyKing could also apparently operate</w:t>
            </w:r>
            <w:r w:rsidR="00122207">
              <w:rPr>
                <w:sz w:val="22"/>
                <w:szCs w:val="22"/>
              </w:rPr>
              <w:t xml:space="preserve"> outside those bands.  </w:t>
            </w:r>
            <w:r>
              <w:rPr>
                <w:sz w:val="22"/>
                <w:szCs w:val="22"/>
              </w:rPr>
              <w:t xml:space="preserve">Radio frequency-emitting devices </w:t>
            </w:r>
            <w:r w:rsidR="00122207">
              <w:rPr>
                <w:sz w:val="22"/>
                <w:szCs w:val="22"/>
              </w:rPr>
              <w:t>that can operate outside of radio frequency bands designated for amateur use must obtain FCC certification</w:t>
            </w:r>
            <w:r w:rsidR="00FB0430">
              <w:rPr>
                <w:sz w:val="22"/>
                <w:szCs w:val="22"/>
              </w:rPr>
              <w:t xml:space="preserve"> yet the devices in question marketed by HobbyKing apparently were not certified by the Commission</w:t>
            </w:r>
            <w:r w:rsidR="00122207">
              <w:rPr>
                <w:sz w:val="22"/>
                <w:szCs w:val="22"/>
              </w:rPr>
              <w:t xml:space="preserve">.  </w:t>
            </w:r>
          </w:p>
          <w:p w:rsidR="0012220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6689D" w:rsidP="00D6610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addition, amateur equipment used to telecommand model crafts are limited in the power of their radio transmissions.  FCC rules limit such signals to </w:t>
            </w:r>
            <w:r w:rsidR="00CA3878">
              <w:rPr>
                <w:sz w:val="22"/>
                <w:szCs w:val="22"/>
              </w:rPr>
              <w:t>1 Watt</w:t>
            </w:r>
            <w:r>
              <w:rPr>
                <w:sz w:val="22"/>
                <w:szCs w:val="22"/>
              </w:rPr>
              <w:t xml:space="preserve"> (1000mW)</w:t>
            </w:r>
            <w:r w:rsidR="00CA3878">
              <w:rPr>
                <w:sz w:val="22"/>
                <w:szCs w:val="22"/>
              </w:rPr>
              <w:t xml:space="preserve">.  </w:t>
            </w:r>
            <w:r w:rsidR="00DE06C4">
              <w:rPr>
                <w:sz w:val="22"/>
                <w:szCs w:val="22"/>
              </w:rPr>
              <w:t>T</w:t>
            </w:r>
            <w:r w:rsidRPr="00B76837" w:rsidR="00B76837">
              <w:rPr>
                <w:sz w:val="22"/>
                <w:szCs w:val="22"/>
              </w:rPr>
              <w:t xml:space="preserve">hree </w:t>
            </w:r>
            <w:r w:rsidR="00B76837">
              <w:rPr>
                <w:sz w:val="22"/>
                <w:szCs w:val="22"/>
              </w:rPr>
              <w:t xml:space="preserve">of the </w:t>
            </w:r>
            <w:r w:rsidRPr="00B76837" w:rsidR="00B76837">
              <w:rPr>
                <w:sz w:val="22"/>
                <w:szCs w:val="22"/>
              </w:rPr>
              <w:t xml:space="preserve">transmitter models </w:t>
            </w:r>
            <w:r w:rsidR="00B76837">
              <w:rPr>
                <w:sz w:val="22"/>
                <w:szCs w:val="22"/>
              </w:rPr>
              <w:t xml:space="preserve">included in today’s action </w:t>
            </w:r>
            <w:r w:rsidR="001A0771">
              <w:rPr>
                <w:sz w:val="22"/>
                <w:szCs w:val="22"/>
              </w:rPr>
              <w:t>apparently</w:t>
            </w:r>
            <w:r w:rsidRPr="00B76837" w:rsidR="00B76837">
              <w:rPr>
                <w:sz w:val="22"/>
                <w:szCs w:val="22"/>
              </w:rPr>
              <w:t xml:space="preserve"> operate at </w:t>
            </w:r>
            <w:r w:rsidR="00DE06C4">
              <w:rPr>
                <w:sz w:val="22"/>
                <w:szCs w:val="22"/>
              </w:rPr>
              <w:t xml:space="preserve">significantly higher </w:t>
            </w:r>
            <w:r w:rsidRPr="00B76837" w:rsidR="00B76837">
              <w:rPr>
                <w:sz w:val="22"/>
                <w:szCs w:val="22"/>
              </w:rPr>
              <w:t>power levels of 15</w:t>
            </w:r>
            <w:r>
              <w:rPr>
                <w:sz w:val="22"/>
                <w:szCs w:val="22"/>
              </w:rPr>
              <w:t>00mW and 2000mW.</w:t>
            </w:r>
          </w:p>
          <w:p w:rsidR="00CA387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9098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complaints to the FCC, the Commission’s Enforcement Bureau opened an investigation into the company’s </w:t>
            </w:r>
            <w:r w:rsidRPr="00C9098A">
              <w:rPr>
                <w:sz w:val="22"/>
                <w:szCs w:val="22"/>
              </w:rPr>
              <w:t xml:space="preserve">marketing </w:t>
            </w:r>
            <w:r>
              <w:rPr>
                <w:sz w:val="22"/>
                <w:szCs w:val="22"/>
              </w:rPr>
              <w:t xml:space="preserve">of </w:t>
            </w:r>
            <w:r w:rsidRPr="00C9098A">
              <w:rPr>
                <w:sz w:val="22"/>
                <w:szCs w:val="22"/>
              </w:rPr>
              <w:t>radio frequency devices</w:t>
            </w:r>
            <w:r w:rsidR="00D66100">
              <w:rPr>
                <w:sz w:val="22"/>
                <w:szCs w:val="22"/>
              </w:rPr>
              <w:t xml:space="preserve"> to American consumers</w:t>
            </w:r>
            <w:r w:rsidRPr="00C9098A">
              <w:rPr>
                <w:sz w:val="22"/>
                <w:szCs w:val="22"/>
              </w:rPr>
              <w:t xml:space="preserve"> in potential violation of the Communications Act</w:t>
            </w:r>
            <w:r w:rsidR="00D15595">
              <w:rPr>
                <w:sz w:val="22"/>
                <w:szCs w:val="22"/>
              </w:rPr>
              <w:t xml:space="preserve"> and Commission’s rules</w:t>
            </w:r>
            <w:r>
              <w:rPr>
                <w:sz w:val="22"/>
                <w:szCs w:val="22"/>
              </w:rPr>
              <w:t xml:space="preserve">.  In response to these complaints, the FCC issued a formal citation to warn the company </w:t>
            </w:r>
            <w:r w:rsidR="00DA1764">
              <w:rPr>
                <w:sz w:val="22"/>
                <w:szCs w:val="22"/>
              </w:rPr>
              <w:t>that it must comply with these requirements</w:t>
            </w:r>
            <w:r>
              <w:rPr>
                <w:sz w:val="22"/>
                <w:szCs w:val="22"/>
              </w:rPr>
              <w:t>.  Following further complaints, the Commission</w:t>
            </w:r>
            <w:r w:rsidR="00D15595"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"https://www.fcc.gov/document/hobbyking-usa-llc" </w:instrText>
            </w:r>
            <w:r>
              <w:fldChar w:fldCharType="separate"/>
            </w:r>
            <w:r w:rsidRPr="008438E2">
              <w:rPr>
                <w:rStyle w:val="Hyperlink"/>
                <w:sz w:val="22"/>
                <w:szCs w:val="22"/>
              </w:rPr>
              <w:t>ordered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the company</w:t>
            </w:r>
            <w:r w:rsidR="00D15595">
              <w:rPr>
                <w:sz w:val="22"/>
                <w:szCs w:val="22"/>
              </w:rPr>
              <w:t xml:space="preserve"> to </w:t>
            </w:r>
            <w:r w:rsidR="00DA1764">
              <w:rPr>
                <w:sz w:val="22"/>
                <w:szCs w:val="22"/>
              </w:rPr>
              <w:t>provide information on its marketing of AV transmitters</w:t>
            </w:r>
            <w:r w:rsidR="00AC59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138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law requires companies to respond to</w:t>
            </w:r>
            <w:r w:rsidR="00ED10FE">
              <w:rPr>
                <w:sz w:val="22"/>
                <w:szCs w:val="22"/>
              </w:rPr>
              <w:t xml:space="preserve"> requests from the FCC for information and to</w:t>
            </w:r>
            <w:r>
              <w:rPr>
                <w:sz w:val="22"/>
                <w:szCs w:val="22"/>
              </w:rPr>
              <w:t xml:space="preserve"> such FCC orders after being w</w:t>
            </w:r>
            <w:r w:rsidR="0081386B">
              <w:rPr>
                <w:sz w:val="22"/>
                <w:szCs w:val="22"/>
              </w:rPr>
              <w:t xml:space="preserve">arned of possible violations.  </w:t>
            </w:r>
            <w:r w:rsidR="00AC59DA">
              <w:rPr>
                <w:sz w:val="22"/>
                <w:szCs w:val="22"/>
              </w:rPr>
              <w:t xml:space="preserve">Yet, </w:t>
            </w:r>
            <w:r w:rsidR="00A87768">
              <w:rPr>
                <w:sz w:val="22"/>
                <w:szCs w:val="22"/>
              </w:rPr>
              <w:t xml:space="preserve">HobbyKing provided no further response.  </w:t>
            </w:r>
          </w:p>
          <w:p w:rsidR="00850E26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2434B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Today’s </w:t>
            </w:r>
            <w:r w:rsidRPr="001E3430">
              <w:rPr>
                <w:sz w:val="22"/>
                <w:szCs w:val="22"/>
              </w:rPr>
              <w:t>$2,861,128</w:t>
            </w:r>
            <w:r>
              <w:rPr>
                <w:sz w:val="22"/>
                <w:szCs w:val="22"/>
              </w:rPr>
              <w:t xml:space="preserve"> proposed fine</w:t>
            </w:r>
            <w:r w:rsidRPr="00C94069" w:rsidR="002434B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formally called a Notice of Apparent Liability for Forfeiture, or NAL, contains </w:t>
            </w:r>
            <w:r w:rsidR="002434B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only </w:t>
            </w:r>
            <w:r w:rsidRPr="00C94069" w:rsidR="002434B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allegations that advise a party on how it has apparently violated the law and may set forth a proposed monetary penalty.  The Commission may not impose a greater monetary penalty in this case than the amount proposed in the NAL.  Neither the allegations nor the proposed sanctions in the NAL are final Commission actions.  The party </w:t>
            </w:r>
            <w:r w:rsidRPr="00C94069" w:rsidR="002434B2">
              <w:rPr>
                <w:rStyle w:val="Hyperlink"/>
                <w:color w:val="auto"/>
                <w:sz w:val="22"/>
                <w:szCs w:val="22"/>
                <w:u w:val="none"/>
              </w:rPr>
              <w:t>will be given an opportunity to respond and the Commission will consider the party’s submission of evidence and legal arguments before acting further to resolve the matter.</w:t>
            </w:r>
          </w:p>
          <w:p w:rsidR="00EE64FA" w:rsidP="002434B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E64FA" w:rsidP="002434B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HobbyKing NAL is available at:  </w:t>
            </w:r>
            <w:r>
              <w:fldChar w:fldCharType="begin"/>
            </w:r>
            <w:r>
              <w:instrText xml:space="preserve"> HYPERLINK "https://docs.fcc.gov/public/attachments/FCC-18-71A1.pdf" </w:instrText>
            </w:r>
            <w:r>
              <w:fldChar w:fldCharType="separate"/>
            </w:r>
            <w:r w:rsidRPr="004419CD" w:rsidR="003A13C8">
              <w:rPr>
                <w:rStyle w:val="Hyperlink"/>
                <w:sz w:val="22"/>
                <w:szCs w:val="22"/>
              </w:rPr>
              <w:t>https://docs.fcc.gov/public/attachments/FCC-18-71A1.pdf</w:t>
            </w:r>
            <w:r>
              <w:fldChar w:fldCharType="end"/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3A13C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bookmarkStart w:id="0" w:name="_GoBack"/>
            <w:bookmarkEnd w:id="0"/>
          </w:p>
          <w:p w:rsidR="00B32D60" w:rsidP="002434B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C2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