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81809" w:rsidRPr="00552B72" w:rsidP="00181809">
      <w:pPr>
        <w:jc w:val="center"/>
        <w:rPr>
          <w:b/>
        </w:rPr>
      </w:pPr>
      <w:r>
        <w:rPr>
          <w:b/>
        </w:rPr>
        <w:t xml:space="preserve">CONCURRING </w:t>
      </w:r>
      <w:r w:rsidRPr="00552B72">
        <w:rPr>
          <w:b/>
        </w:rPr>
        <w:t xml:space="preserve">STATEMENT OF </w:t>
      </w:r>
    </w:p>
    <w:p w:rsidR="00181809" w:rsidP="00181809">
      <w:pPr>
        <w:jc w:val="center"/>
        <w:rPr>
          <w:b/>
        </w:rPr>
      </w:pPr>
      <w:r>
        <w:rPr>
          <w:b/>
        </w:rPr>
        <w:t>COMMISSIONER JESSICA ROSENWORCEL</w:t>
      </w:r>
    </w:p>
    <w:p w:rsidR="00181809" w:rsidP="00181809">
      <w:pPr>
        <w:jc w:val="center"/>
        <w:rPr>
          <w:b/>
        </w:rPr>
      </w:pPr>
    </w:p>
    <w:p w:rsidR="00181809" w:rsidP="00181809">
      <w:pPr>
        <w:spacing w:after="220"/>
        <w:ind w:left="720" w:hanging="720"/>
      </w:pPr>
      <w:r>
        <w:t xml:space="preserve">Re: </w:t>
      </w:r>
      <w:r>
        <w:tab/>
      </w:r>
      <w:r>
        <w:rPr>
          <w:i/>
        </w:rPr>
        <w:t>Petition of NTCA—The Rural Broadband Association and the United States Telecom Association for Forbearance Pursuant to 47 U.S.C. § 160(c) from Application of Contribution Obligations on Broadband Internet Access Transmission Services</w:t>
      </w:r>
      <w:r>
        <w:t>, WC Docket No. 17-206.</w:t>
      </w:r>
    </w:p>
    <w:p w:rsidR="00181809" w:rsidRPr="0078765A" w:rsidP="00181809">
      <w:pPr>
        <w:spacing w:after="120"/>
        <w:ind w:firstLine="720"/>
      </w:pPr>
      <w:r w:rsidRPr="0078765A">
        <w:t xml:space="preserve">Our high-cost universal service fund program is designed to bring modern communications to rural America.  That’s a noble goal.  But the system we </w:t>
      </w:r>
      <w:r w:rsidRPr="0078765A">
        <w:t>have to</w:t>
      </w:r>
      <w:r w:rsidRPr="0078765A">
        <w:t xml:space="preserve"> do so is not just complex, it’s Byzantine.  With the advance of time and technology, regulatory reforms have multiplied.  As a result, there are real quirks and strange inequities in our rules.  </w:t>
      </w:r>
    </w:p>
    <w:p w:rsidR="00181809" w:rsidRPr="0078765A" w:rsidP="00181809">
      <w:pPr>
        <w:spacing w:after="120"/>
        <w:ind w:firstLine="720"/>
      </w:pPr>
      <w:r w:rsidRPr="0078765A">
        <w:t xml:space="preserve">Today we remedy one of them.  We grant non-model rural incumbent local exchange carriers forbearance from the universal service contributions related to one component of broadband internet access service.  </w:t>
      </w:r>
    </w:p>
    <w:p w:rsidR="00181809" w:rsidRPr="0078765A" w:rsidP="00181809">
      <w:pPr>
        <w:spacing w:after="120"/>
        <w:ind w:firstLine="720"/>
      </w:pPr>
      <w:r w:rsidRPr="0078765A">
        <w:t>You got that?  Like I said, it’s complicated.</w:t>
      </w:r>
    </w:p>
    <w:p w:rsidR="00181809" w:rsidRPr="0078765A" w:rsidP="00181809">
      <w:pPr>
        <w:spacing w:after="120"/>
        <w:ind w:firstLine="720"/>
      </w:pPr>
      <w:r w:rsidRPr="0078765A">
        <w:t xml:space="preserve">I concur in this decision.  As a matter of equity, I think it is important to put these carriers on equal footing with their peers.  But the analysis in this decision is lacking.  Moreover, while I think this is the right call today, I also believe it’s time for some basic math.  By granting this forbearance, we forego roughly $40 million in funding for broadband in rural America.  Add to this the $55 million in lost interest income that the FCC just gave up by shifting universal service bank accounts without even a vote and you have nearly $100 million in universal service funds that have disappeared.  </w:t>
      </w:r>
    </w:p>
    <w:p w:rsidR="00181809" w:rsidRPr="0078765A" w:rsidP="00181809">
      <w:pPr>
        <w:spacing w:after="120"/>
        <w:ind w:firstLine="720"/>
      </w:pPr>
      <w:r w:rsidRPr="0078765A">
        <w:t>So</w:t>
      </w:r>
      <w:r w:rsidRPr="0078765A">
        <w:t xml:space="preserve"> I don’t just worry that our high-cost universal service system is complicated.  I worry that despite our noble rhetoric about closing the digital divide in rural America, we are draining this agency of the funds necessary to do so.</w:t>
      </w:r>
    </w:p>
    <w:p w:rsidR="00D641D3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8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