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C33DE" w:rsidRPr="00FA29BA" w:rsidP="00AC33DE">
      <w:pPr>
        <w:jc w:val="center"/>
        <w:rPr>
          <w:b/>
          <w:szCs w:val="22"/>
        </w:rPr>
      </w:pPr>
      <w:r w:rsidRPr="00FA29BA">
        <w:rPr>
          <w:b/>
          <w:szCs w:val="22"/>
        </w:rPr>
        <w:t>STATEMENT OF</w:t>
      </w:r>
    </w:p>
    <w:p w:rsidR="00AC33DE" w:rsidRPr="00FA29BA" w:rsidP="00AC33DE">
      <w:pPr>
        <w:jc w:val="center"/>
        <w:rPr>
          <w:b/>
          <w:szCs w:val="22"/>
        </w:rPr>
      </w:pPr>
      <w:r w:rsidRPr="00FA29BA">
        <w:rPr>
          <w:b/>
          <w:szCs w:val="22"/>
        </w:rPr>
        <w:t>COMMISSIONER JESSICA ROSENWORCEL</w:t>
      </w:r>
    </w:p>
    <w:p w:rsidR="00AC33DE" w:rsidRPr="00F812B4" w:rsidP="00AC33DE">
      <w:pPr>
        <w:ind w:firstLine="720"/>
        <w:rPr>
          <w:szCs w:val="22"/>
        </w:rPr>
      </w:pPr>
    </w:p>
    <w:p w:rsidR="00AC33DE" w:rsidP="00AC33DE">
      <w:pPr>
        <w:rPr>
          <w:i/>
          <w:szCs w:val="22"/>
        </w:rPr>
      </w:pPr>
      <w:r w:rsidRPr="00F812B4">
        <w:rPr>
          <w:szCs w:val="22"/>
        </w:rPr>
        <w:t>Re:</w:t>
      </w:r>
      <w:r w:rsidRPr="00F812B4">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AC33DE" w:rsidP="00AC33DE">
      <w:pPr>
        <w:ind w:firstLine="720"/>
        <w:rPr>
          <w:szCs w:val="22"/>
        </w:rPr>
      </w:pPr>
      <w:r w:rsidRPr="00F812B4">
        <w:rPr>
          <w:i/>
          <w:szCs w:val="22"/>
        </w:rPr>
        <w:t>Initiative</w:t>
      </w:r>
      <w:r w:rsidRPr="00F812B4">
        <w:rPr>
          <w:szCs w:val="22"/>
        </w:rPr>
        <w:t>, MB Docket No. 17-105</w:t>
      </w:r>
    </w:p>
    <w:p w:rsidR="00AC33DE" w:rsidP="00AC33DE">
      <w:pPr>
        <w:ind w:firstLine="720"/>
      </w:pPr>
    </w:p>
    <w:p w:rsidR="00AC33DE" w:rsidRPr="00AC33DE" w:rsidP="00AC33DE">
      <w:pPr>
        <w:widowControl/>
        <w:rPr>
          <w:rFonts w:eastAsia="Calibri"/>
          <w:snapToGrid/>
          <w:kern w:val="0"/>
          <w:szCs w:val="22"/>
        </w:rPr>
      </w:pPr>
      <w:r w:rsidRPr="00AC33DE">
        <w:rPr>
          <w:rFonts w:eastAsia="Calibri"/>
          <w:snapToGrid/>
          <w:kern w:val="0"/>
          <w:szCs w:val="22"/>
        </w:rPr>
        <w:tab/>
        <w:t xml:space="preserve">It is rare that we get the opportunity to wipe the slate clean and start anew.  But the FCC is doing just that with its leased access cable rules.  With this rulemaking we begin the process of cleaning up a decade-old court decision that previously covered our leased access policies.  We ask questions about the status of the leased access market, the way requests come in, and how new and diverse voices now seek “airtime.”  </w:t>
      </w:r>
    </w:p>
    <w:p w:rsidR="00AC33DE" w:rsidRPr="00AC33DE" w:rsidP="00AC33DE">
      <w:pPr>
        <w:widowControl/>
        <w:rPr>
          <w:rFonts w:eastAsia="Calibri"/>
          <w:snapToGrid/>
          <w:kern w:val="0"/>
          <w:szCs w:val="22"/>
        </w:rPr>
      </w:pPr>
    </w:p>
    <w:p w:rsidR="00AC33DE" w:rsidRPr="00AC33DE" w:rsidP="00AC33DE">
      <w:pPr>
        <w:widowControl/>
        <w:rPr>
          <w:rFonts w:eastAsia="Calibri"/>
          <w:snapToGrid/>
          <w:kern w:val="0"/>
          <w:szCs w:val="22"/>
        </w:rPr>
      </w:pPr>
      <w:r w:rsidRPr="00AC33DE">
        <w:rPr>
          <w:rFonts w:eastAsia="Calibri"/>
          <w:snapToGrid/>
          <w:kern w:val="0"/>
          <w:szCs w:val="22"/>
        </w:rPr>
        <w:tab/>
        <w:t xml:space="preserve">As we proceed we must be mindful of our statutory responsibility to “promote competition in the delivery of diverse sources of video programming and to assure that the widest possible diversity of information sources are </w:t>
      </w:r>
      <w:bookmarkStart w:id="0" w:name="_GoBack"/>
      <w:bookmarkEnd w:id="0"/>
      <w:r w:rsidRPr="00AC33DE">
        <w:rPr>
          <w:rFonts w:eastAsia="Calibri"/>
          <w:snapToGrid/>
          <w:kern w:val="0"/>
          <w:szCs w:val="22"/>
        </w:rPr>
        <w:t xml:space="preserve">made available to the public.”  I look forward to the record that develops.  This rulemaking has my full support.   </w:t>
      </w:r>
    </w:p>
    <w:p w:rsidR="00F2288C" w:rsidP="00AC4DF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750B43">
      <w:rPr>
        <w:spacing w:val="-2"/>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3DE"/>
    <w:pPr>
      <w:widowControl w:val="0"/>
    </w:pPr>
    <w:rPr>
      <w:snapToGrid w:val="0"/>
      <w:kern w:val="28"/>
      <w:sz w:val="22"/>
    </w:rPr>
  </w:style>
  <w:style w:type="paragraph" w:styleId="Heading1">
    <w:name w:val="heading 1"/>
    <w:basedOn w:val="Normal"/>
    <w:next w:val="ParaNum"/>
    <w:qFormat/>
    <w:rsid w:val="00AC33D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33DE"/>
    <w:pPr>
      <w:keepNext/>
      <w:numPr>
        <w:ilvl w:val="1"/>
        <w:numId w:val="3"/>
      </w:numPr>
      <w:spacing w:after="120"/>
      <w:outlineLvl w:val="1"/>
    </w:pPr>
    <w:rPr>
      <w:b/>
    </w:rPr>
  </w:style>
  <w:style w:type="paragraph" w:styleId="Heading3">
    <w:name w:val="heading 3"/>
    <w:basedOn w:val="Normal"/>
    <w:next w:val="ParaNum"/>
    <w:qFormat/>
    <w:rsid w:val="00AC33DE"/>
    <w:pPr>
      <w:keepNext/>
      <w:numPr>
        <w:ilvl w:val="2"/>
        <w:numId w:val="3"/>
      </w:numPr>
      <w:tabs>
        <w:tab w:val="left" w:pos="2160"/>
      </w:tabs>
      <w:spacing w:after="120"/>
      <w:outlineLvl w:val="2"/>
    </w:pPr>
    <w:rPr>
      <w:b/>
    </w:rPr>
  </w:style>
  <w:style w:type="paragraph" w:styleId="Heading4">
    <w:name w:val="heading 4"/>
    <w:basedOn w:val="Normal"/>
    <w:next w:val="ParaNum"/>
    <w:qFormat/>
    <w:rsid w:val="00AC33DE"/>
    <w:pPr>
      <w:keepNext/>
      <w:numPr>
        <w:ilvl w:val="3"/>
        <w:numId w:val="3"/>
      </w:numPr>
      <w:tabs>
        <w:tab w:val="left" w:pos="2880"/>
      </w:tabs>
      <w:spacing w:after="120"/>
      <w:outlineLvl w:val="3"/>
    </w:pPr>
    <w:rPr>
      <w:b/>
    </w:rPr>
  </w:style>
  <w:style w:type="paragraph" w:styleId="Heading5">
    <w:name w:val="heading 5"/>
    <w:basedOn w:val="Normal"/>
    <w:next w:val="ParaNum"/>
    <w:qFormat/>
    <w:rsid w:val="00AC33D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C33DE"/>
    <w:pPr>
      <w:numPr>
        <w:ilvl w:val="5"/>
        <w:numId w:val="3"/>
      </w:numPr>
      <w:tabs>
        <w:tab w:val="left" w:pos="4320"/>
      </w:tabs>
      <w:spacing w:after="120"/>
      <w:outlineLvl w:val="5"/>
    </w:pPr>
    <w:rPr>
      <w:b/>
    </w:rPr>
  </w:style>
  <w:style w:type="paragraph" w:styleId="Heading7">
    <w:name w:val="heading 7"/>
    <w:basedOn w:val="Normal"/>
    <w:next w:val="ParaNum"/>
    <w:qFormat/>
    <w:rsid w:val="00AC33D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C33D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C33D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33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33DE"/>
  </w:style>
  <w:style w:type="paragraph" w:customStyle="1" w:styleId="ParaNum">
    <w:name w:val="ParaNum"/>
    <w:basedOn w:val="Normal"/>
    <w:rsid w:val="00AC33DE"/>
    <w:pPr>
      <w:numPr>
        <w:numId w:val="2"/>
      </w:numPr>
      <w:tabs>
        <w:tab w:val="clear" w:pos="1080"/>
        <w:tab w:val="num" w:pos="1440"/>
      </w:tabs>
      <w:spacing w:after="120"/>
    </w:pPr>
  </w:style>
  <w:style w:type="paragraph" w:styleId="EndnoteText">
    <w:name w:val="endnote text"/>
    <w:basedOn w:val="Normal"/>
    <w:semiHidden/>
    <w:rsid w:val="00AC33DE"/>
    <w:rPr>
      <w:sz w:val="20"/>
    </w:rPr>
  </w:style>
  <w:style w:type="character" w:styleId="EndnoteReference">
    <w:name w:val="endnote reference"/>
    <w:semiHidden/>
    <w:rsid w:val="00AC33DE"/>
    <w:rPr>
      <w:vertAlign w:val="superscript"/>
    </w:rPr>
  </w:style>
  <w:style w:type="paragraph" w:styleId="FootnoteText">
    <w:name w:val="footnote text"/>
    <w:rsid w:val="00AC33DE"/>
    <w:pPr>
      <w:spacing w:after="120"/>
    </w:pPr>
  </w:style>
  <w:style w:type="character" w:styleId="FootnoteReference">
    <w:name w:val="footnote reference"/>
    <w:rsid w:val="00AC33DE"/>
    <w:rPr>
      <w:rFonts w:ascii="Times New Roman" w:hAnsi="Times New Roman"/>
      <w:dstrike w:val="0"/>
      <w:color w:val="auto"/>
      <w:sz w:val="20"/>
      <w:vertAlign w:val="superscript"/>
    </w:rPr>
  </w:style>
  <w:style w:type="paragraph" w:styleId="TOC1">
    <w:name w:val="toc 1"/>
    <w:basedOn w:val="Normal"/>
    <w:next w:val="Normal"/>
    <w:semiHidden/>
    <w:rsid w:val="00AC33D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33DE"/>
    <w:pPr>
      <w:tabs>
        <w:tab w:val="left" w:pos="720"/>
        <w:tab w:val="right" w:leader="dot" w:pos="9360"/>
      </w:tabs>
      <w:suppressAutoHyphens/>
      <w:ind w:left="720" w:right="720" w:hanging="360"/>
    </w:pPr>
    <w:rPr>
      <w:noProof/>
    </w:rPr>
  </w:style>
  <w:style w:type="paragraph" w:styleId="TOC3">
    <w:name w:val="toc 3"/>
    <w:basedOn w:val="Normal"/>
    <w:next w:val="Normal"/>
    <w:semiHidden/>
    <w:rsid w:val="00AC33D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33D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33D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33D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33D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33D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33D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33DE"/>
    <w:pPr>
      <w:tabs>
        <w:tab w:val="right" w:pos="9360"/>
      </w:tabs>
      <w:suppressAutoHyphens/>
    </w:pPr>
  </w:style>
  <w:style w:type="character" w:customStyle="1" w:styleId="EquationCaption">
    <w:name w:val="_Equation Caption"/>
    <w:rsid w:val="00AC33DE"/>
  </w:style>
  <w:style w:type="paragraph" w:styleId="Header">
    <w:name w:val="header"/>
    <w:basedOn w:val="Normal"/>
    <w:autoRedefine/>
    <w:rsid w:val="00AC33DE"/>
    <w:pPr>
      <w:tabs>
        <w:tab w:val="center" w:pos="4680"/>
        <w:tab w:val="right" w:pos="9360"/>
      </w:tabs>
    </w:pPr>
    <w:rPr>
      <w:b/>
    </w:rPr>
  </w:style>
  <w:style w:type="paragraph" w:styleId="Footer">
    <w:name w:val="footer"/>
    <w:basedOn w:val="Normal"/>
    <w:rsid w:val="00AC33DE"/>
    <w:pPr>
      <w:tabs>
        <w:tab w:val="center" w:pos="4320"/>
        <w:tab w:val="right" w:pos="8640"/>
      </w:tabs>
    </w:pPr>
  </w:style>
  <w:style w:type="character" w:styleId="PageNumber">
    <w:name w:val="page number"/>
    <w:basedOn w:val="DefaultParagraphFont"/>
    <w:rsid w:val="00AC33DE"/>
  </w:style>
  <w:style w:type="paragraph" w:styleId="BlockText">
    <w:name w:val="Block Text"/>
    <w:basedOn w:val="Normal"/>
    <w:rsid w:val="00AC33DE"/>
    <w:pPr>
      <w:spacing w:after="240"/>
      <w:ind w:left="1440" w:right="1440"/>
    </w:pPr>
  </w:style>
  <w:style w:type="paragraph" w:customStyle="1" w:styleId="Paratitle">
    <w:name w:val="Para title"/>
    <w:basedOn w:val="Normal"/>
    <w:rsid w:val="00AC33DE"/>
    <w:pPr>
      <w:tabs>
        <w:tab w:val="center" w:pos="9270"/>
      </w:tabs>
      <w:spacing w:after="240"/>
    </w:pPr>
    <w:rPr>
      <w:spacing w:val="-2"/>
    </w:rPr>
  </w:style>
  <w:style w:type="paragraph" w:customStyle="1" w:styleId="Bullet">
    <w:name w:val="Bullet"/>
    <w:basedOn w:val="Normal"/>
    <w:rsid w:val="00AC33DE"/>
    <w:pPr>
      <w:tabs>
        <w:tab w:val="left" w:pos="2160"/>
      </w:tabs>
      <w:spacing w:after="220"/>
      <w:ind w:left="2160" w:hanging="720"/>
    </w:pPr>
  </w:style>
  <w:style w:type="paragraph" w:customStyle="1" w:styleId="TableFormat">
    <w:name w:val="TableFormat"/>
    <w:basedOn w:val="Bullet"/>
    <w:rsid w:val="00AC33DE"/>
    <w:pPr>
      <w:tabs>
        <w:tab w:val="clear" w:pos="2160"/>
        <w:tab w:val="left" w:pos="5040"/>
      </w:tabs>
      <w:ind w:left="5040" w:hanging="3600"/>
    </w:pPr>
  </w:style>
  <w:style w:type="paragraph" w:customStyle="1" w:styleId="TOCTitle">
    <w:name w:val="TOC Title"/>
    <w:basedOn w:val="Normal"/>
    <w:rsid w:val="00AC33D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33DE"/>
    <w:pPr>
      <w:jc w:val="center"/>
    </w:pPr>
    <w:rPr>
      <w:rFonts w:ascii="Times New Roman Bold" w:hAnsi="Times New Roman Bold"/>
      <w:b/>
      <w:bCs/>
      <w:caps/>
      <w:szCs w:val="22"/>
    </w:rPr>
  </w:style>
  <w:style w:type="character" w:styleId="Hyperlink">
    <w:name w:val="Hyperlink"/>
    <w:rsid w:val="00AC3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