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334DFF">
        <w:tblPrEx>
          <w:tblW w:w="0" w:type="auto"/>
          <w:tblLook w:val="0000"/>
        </w:tblPrEx>
        <w:trPr>
          <w:trHeight w:val="7020"/>
        </w:trPr>
        <w:tc>
          <w:tcPr>
            <w:tcW w:w="8640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b/>
                <w:bCs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Brooke Ericson</w:t>
            </w:r>
            <w:r w:rsidR="00390E44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390E44" w:rsidP="00BB4E29">
            <w:pPr>
              <w:rPr>
                <w:bCs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"mailto:Robin.Colwell@fcc.gov" </w:instrText>
            </w:r>
            <w:r>
              <w:fldChar w:fldCharType="separate"/>
            </w:r>
            <w:r w:rsidR="00334DFF">
              <w:rPr>
                <w:rStyle w:val="Hyperlink"/>
                <w:bCs/>
                <w:sz w:val="22"/>
                <w:szCs w:val="22"/>
              </w:rPr>
              <w:t>Brooke.Ericson@fcc.gov</w:t>
            </w:r>
            <w:r>
              <w:fldChar w:fldCharType="end"/>
            </w:r>
          </w:p>
          <w:p w:rsidR="00390E44" w:rsidP="00BB4E29">
            <w:pPr>
              <w:rPr>
                <w:bCs/>
                <w:sz w:val="22"/>
                <w:szCs w:val="22"/>
              </w:rPr>
            </w:pPr>
          </w:p>
          <w:p w:rsidR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715E" w:rsidP="008D6F0F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8D6F0F">
              <w:rPr>
                <w:b/>
                <w:bCs/>
                <w:caps/>
                <w:sz w:val="26"/>
                <w:szCs w:val="26"/>
              </w:rPr>
              <w:t>STATEMENT OF COMMISSIONER MICHAEL O’RIELLY</w:t>
            </w:r>
            <w:r w:rsidRPr="008D6F0F" w:rsidR="00467A71">
              <w:rPr>
                <w:b/>
                <w:bCs/>
                <w:caps/>
                <w:sz w:val="26"/>
                <w:szCs w:val="26"/>
              </w:rPr>
              <w:t xml:space="preserve"> </w:t>
            </w:r>
          </w:p>
          <w:p w:rsidR="008D6F0F" w:rsidRPr="008D6F0F" w:rsidP="008D6F0F">
            <w:pPr>
              <w:jc w:val="center"/>
              <w:rPr>
                <w:b/>
                <w:caps/>
                <w:sz w:val="22"/>
                <w:szCs w:val="22"/>
              </w:rPr>
            </w:pPr>
            <w:r w:rsidRPr="008D6F0F">
              <w:rPr>
                <w:b/>
                <w:bCs/>
                <w:caps/>
                <w:sz w:val="26"/>
                <w:szCs w:val="26"/>
              </w:rPr>
              <w:t xml:space="preserve">ON </w:t>
            </w:r>
            <w:r w:rsidR="00280771">
              <w:rPr>
                <w:b/>
                <w:bCs/>
                <w:caps/>
                <w:sz w:val="26"/>
                <w:szCs w:val="26"/>
              </w:rPr>
              <w:t>Subcommitt</w:t>
            </w:r>
            <w:r w:rsidR="00767C16">
              <w:rPr>
                <w:b/>
                <w:bCs/>
                <w:caps/>
                <w:sz w:val="26"/>
                <w:szCs w:val="26"/>
              </w:rPr>
              <w:t>E</w:t>
            </w:r>
            <w:bookmarkStart w:id="0" w:name="_GoBack"/>
            <w:bookmarkEnd w:id="0"/>
            <w:r w:rsidR="00280771">
              <w:rPr>
                <w:b/>
                <w:bCs/>
                <w:caps/>
                <w:sz w:val="26"/>
                <w:szCs w:val="26"/>
              </w:rPr>
              <w:t xml:space="preserve">e markup of </w:t>
            </w:r>
            <w:r w:rsidR="008B4B72">
              <w:rPr>
                <w:b/>
                <w:bCs/>
                <w:caps/>
                <w:sz w:val="26"/>
                <w:szCs w:val="26"/>
              </w:rPr>
              <w:t>pIRATE Act</w:t>
            </w:r>
            <w:r w:rsidR="003E5242">
              <w:rPr>
                <w:b/>
                <w:bCs/>
                <w:caps/>
                <w:sz w:val="26"/>
                <w:szCs w:val="26"/>
              </w:rPr>
              <w:t xml:space="preserve">  </w:t>
            </w:r>
          </w:p>
          <w:p w:rsidR="008D6F0F" w:rsidRPr="008D6F0F" w:rsidP="008D6F0F">
            <w:pPr>
              <w:jc w:val="center"/>
              <w:rPr>
                <w:b/>
                <w:caps/>
              </w:rPr>
            </w:pPr>
          </w:p>
          <w:p w:rsidR="0021245C" w:rsidRPr="0020443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8B4B72" w:rsidRPr="008B4B72" w:rsidP="008B4B72">
            <w:r w:rsidRPr="006E4D39">
              <w:t xml:space="preserve">WASHINGTON, </w:t>
            </w:r>
            <w:r w:rsidR="00280771">
              <w:t>June</w:t>
            </w:r>
            <w:r w:rsidRPr="006E4D39" w:rsidR="00467A71">
              <w:t xml:space="preserve"> </w:t>
            </w:r>
            <w:r w:rsidR="00280771">
              <w:t>13</w:t>
            </w:r>
            <w:r w:rsidRPr="006E4D39" w:rsidR="000F1502">
              <w:t>, 2018</w:t>
            </w:r>
            <w:r w:rsidRPr="006E4D39" w:rsidR="008B2B51">
              <w:t>.</w:t>
            </w:r>
            <w:r w:rsidRPr="006E4D39">
              <w:t xml:space="preserve"> —</w:t>
            </w:r>
            <w:r w:rsidRPr="006E4D39" w:rsidR="005E55B0">
              <w:t xml:space="preserve"> </w:t>
            </w:r>
            <w:r w:rsidRPr="006E4D39" w:rsidR="00B22C35">
              <w:t>“</w:t>
            </w:r>
            <w:r>
              <w:t xml:space="preserve">I </w:t>
            </w:r>
            <w:r w:rsidR="00474899">
              <w:t>applaud</w:t>
            </w:r>
            <w:r>
              <w:t xml:space="preserve"> </w:t>
            </w:r>
            <w:r w:rsidR="00BE2741">
              <w:t>Representatives</w:t>
            </w:r>
            <w:r>
              <w:t xml:space="preserve"> </w:t>
            </w:r>
            <w:r w:rsidR="00C701ED">
              <w:t xml:space="preserve">Blackburn and Doyle for the successful mark-up of </w:t>
            </w:r>
            <w:r>
              <w:t>the ‘</w:t>
            </w:r>
            <w:r w:rsidR="00654E4E">
              <w:t>Preventing</w:t>
            </w:r>
            <w:r>
              <w:t xml:space="preserve"> Illegal Radio Abuse Through Enforcement Act.’  </w:t>
            </w:r>
            <w:r w:rsidR="00C701ED">
              <w:t xml:space="preserve">Representatives </w:t>
            </w:r>
            <w:r w:rsidR="00474899">
              <w:t>Lance, Tonko, Collins,</w:t>
            </w:r>
            <w:r w:rsidR="00C701ED">
              <w:t xml:space="preserve"> their 11 cosponsors, </w:t>
            </w:r>
            <w:r w:rsidR="00474899">
              <w:t xml:space="preserve">and the entire Subcommittee </w:t>
            </w:r>
            <w:r w:rsidR="00C701ED">
              <w:t>have sent a clear message that</w:t>
            </w:r>
            <w:r>
              <w:t xml:space="preserve"> pirate radio ‘stations’ </w:t>
            </w:r>
            <w:r w:rsidR="00C701ED">
              <w:t>must be eliminated</w:t>
            </w:r>
            <w:r>
              <w:t xml:space="preserve">.  This bill rightfully increases </w:t>
            </w:r>
            <w:r>
              <w:rPr>
                <w:color w:val="000000"/>
              </w:rPr>
              <w:t>the penalties</w:t>
            </w:r>
            <w:r w:rsidR="00FC75DE">
              <w:rPr>
                <w:color w:val="000000"/>
              </w:rPr>
              <w:t>, requires regular enforcement sweeps</w:t>
            </w:r>
            <w:r w:rsidR="009544C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and </w:t>
            </w:r>
            <w:r w:rsidR="00FC75DE">
              <w:rPr>
                <w:color w:val="000000"/>
              </w:rPr>
              <w:t xml:space="preserve">augments the </w:t>
            </w:r>
            <w:r>
              <w:rPr>
                <w:color w:val="000000"/>
              </w:rPr>
              <w:t>to</w:t>
            </w:r>
            <w:r w:rsidR="00270836">
              <w:rPr>
                <w:color w:val="000000"/>
              </w:rPr>
              <w:t>ols available to the Commission</w:t>
            </w:r>
            <w:r>
              <w:rPr>
                <w:color w:val="000000"/>
              </w:rPr>
              <w:t xml:space="preserve"> to </w:t>
            </w:r>
            <w:r w:rsidR="00C701ED">
              <w:rPr>
                <w:color w:val="000000"/>
              </w:rPr>
              <w:t>stop</w:t>
            </w:r>
            <w:r>
              <w:rPr>
                <w:color w:val="000000"/>
              </w:rPr>
              <w:t xml:space="preserve"> illegal pirate broadcasters.  At the same time, the bill notably excludes legitimate Part 15 operations, otherwise known as radio hobbyists.  </w:t>
            </w:r>
            <w:r w:rsidR="00C701ED">
              <w:rPr>
                <w:color w:val="000000"/>
              </w:rPr>
              <w:t xml:space="preserve">Today’s mark-up is an important step forward in ensuring </w:t>
            </w:r>
            <w:r>
              <w:rPr>
                <w:color w:val="000000"/>
              </w:rPr>
              <w:t xml:space="preserve">the PIRATE Act </w:t>
            </w:r>
            <w:r w:rsidR="00C701ED">
              <w:rPr>
                <w:color w:val="000000"/>
              </w:rPr>
              <w:t xml:space="preserve">becomes law and </w:t>
            </w:r>
            <w:r w:rsidR="00B51DAF">
              <w:rPr>
                <w:color w:val="000000"/>
              </w:rPr>
              <w:t>I look forward to seeing the bill take the next step in the legislative process</w:t>
            </w:r>
            <w:r>
              <w:rPr>
                <w:color w:val="000000"/>
              </w:rPr>
              <w:t>.”</w:t>
            </w:r>
            <w:r>
              <w:t> </w:t>
            </w:r>
          </w:p>
          <w:p w:rsidR="008B4B72" w:rsidRPr="000F1502" w:rsidP="000F1502">
            <w:pPr>
              <w:rPr>
                <w:sz w:val="22"/>
                <w:szCs w:val="22"/>
              </w:rPr>
            </w:pPr>
          </w:p>
          <w:p w:rsidR="004F0F1F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334DFF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334DFF" w:rsidP="006E4D39">
            <w:pPr>
              <w:ind w:right="240"/>
              <w:rPr>
                <w:sz w:val="22"/>
                <w:szCs w:val="22"/>
              </w:rPr>
            </w:pPr>
          </w:p>
          <w:p w:rsidR="006E4D39" w:rsidP="006E4D39">
            <w:pPr>
              <w:ind w:right="240"/>
              <w:rPr>
                <w:sz w:val="22"/>
                <w:szCs w:val="22"/>
              </w:rPr>
            </w:pPr>
          </w:p>
          <w:p w:rsidR="00334DFF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334DFF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334DFF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52920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7B7B35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C94291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52920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52920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3E5242" w:rsidP="003E5242">
            <w:pPr>
              <w:ind w:right="240"/>
              <w:rPr>
                <w:sz w:val="22"/>
                <w:szCs w:val="22"/>
              </w:rPr>
            </w:pPr>
          </w:p>
          <w:p w:rsidR="00334DFF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334DFF" w:rsidP="00BB4E29">
            <w:pPr>
              <w:ind w:right="240"/>
              <w:jc w:val="center"/>
              <w:rPr>
                <w:sz w:val="22"/>
                <w:szCs w:val="22"/>
              </w:rPr>
            </w:pPr>
          </w:p>
          <w:p w:rsidR="00E60FBD" w:rsidRPr="00751CC7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:rsidR="00E60FBD" w:rsidRPr="00751CC7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751CC7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751CC7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751CC7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>
      <w:pPr>
        <w:rPr>
          <w:b/>
          <w:bCs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