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22BAD" w:rsidRPr="003D3024" w:rsidP="00D347FC">
      <w:pPr>
        <w:jc w:val="center"/>
        <w:rPr>
          <w:b/>
        </w:rPr>
      </w:pPr>
      <w:bookmarkStart w:id="0" w:name="_GoBack"/>
      <w:bookmarkEnd w:id="0"/>
      <w:r w:rsidRPr="003D3024">
        <w:rPr>
          <w:b/>
        </w:rPr>
        <w:t>Remarks of FCC Commissioner Michael O’Rielly</w:t>
      </w:r>
    </w:p>
    <w:p w:rsidR="0063763A" w:rsidRPr="0063763A" w:rsidP="0063763A">
      <w:pPr>
        <w:jc w:val="center"/>
        <w:rPr>
          <w:b/>
        </w:rPr>
      </w:pPr>
      <w:r w:rsidRPr="0063763A">
        <w:rPr>
          <w:b/>
        </w:rPr>
        <w:t xml:space="preserve">Before the </w:t>
      </w:r>
      <w:r w:rsidRPr="0063763A">
        <w:rPr>
          <w:b/>
        </w:rPr>
        <w:t>Mackinac Center for Public Policy</w:t>
      </w:r>
    </w:p>
    <w:p w:rsidR="003D3024" w:rsidP="00D347FC">
      <w:pPr>
        <w:jc w:val="center"/>
        <w:rPr>
          <w:b/>
        </w:rPr>
      </w:pPr>
      <w:r>
        <w:rPr>
          <w:b/>
        </w:rPr>
        <w:t>June 20</w:t>
      </w:r>
      <w:r w:rsidRPr="003D3024">
        <w:rPr>
          <w:b/>
        </w:rPr>
        <w:t>, 2018</w:t>
      </w:r>
    </w:p>
    <w:p w:rsidR="0063763A" w:rsidP="00D347FC">
      <w:pPr>
        <w:jc w:val="center"/>
        <w:rPr>
          <w:b/>
        </w:rPr>
      </w:pPr>
    </w:p>
    <w:p w:rsidR="0063763A" w:rsidRPr="003D3024" w:rsidP="00D347FC">
      <w:pPr>
        <w:jc w:val="center"/>
        <w:rPr>
          <w:b/>
        </w:rPr>
      </w:pPr>
      <w:r>
        <w:rPr>
          <w:b/>
        </w:rPr>
        <w:t>“Smart Regs for Smart Tech: How Government Can Allow Next Gen Internet Networks to Flourish”</w:t>
      </w:r>
    </w:p>
    <w:p w:rsidR="0063763A"/>
    <w:p w:rsidR="00C6566B">
      <w:r>
        <w:t>Thank you for</w:t>
      </w:r>
      <w:r w:rsidR="0063763A">
        <w:t xml:space="preserve"> having me here today to discuss such a timely and important topic.  </w:t>
      </w:r>
      <w:r w:rsidR="009B5057">
        <w:t>It is a distinct honor to visit the Mackinac Center</w:t>
      </w:r>
      <w:r w:rsidR="00102837">
        <w:t>.</w:t>
      </w:r>
      <w:r w:rsidR="009B5057">
        <w:t xml:space="preserve"> </w:t>
      </w:r>
      <w:r w:rsidR="00102837">
        <w:t xml:space="preserve"> </w:t>
      </w:r>
      <w:r w:rsidR="00467077">
        <w:t>M</w:t>
      </w:r>
      <w:r w:rsidR="00102837">
        <w:t xml:space="preserve">y hope </w:t>
      </w:r>
      <w:r w:rsidR="00467077">
        <w:t xml:space="preserve">is </w:t>
      </w:r>
      <w:r w:rsidR="00102837">
        <w:t xml:space="preserve">that these </w:t>
      </w:r>
      <w:r w:rsidR="00B53063">
        <w:t xml:space="preserve">comments and </w:t>
      </w:r>
      <w:r w:rsidR="005B7DEC">
        <w:t xml:space="preserve">the </w:t>
      </w:r>
      <w:r w:rsidR="00B53063">
        <w:t xml:space="preserve">subsequent </w:t>
      </w:r>
      <w:r w:rsidR="00C42217">
        <w:t xml:space="preserve">panel </w:t>
      </w:r>
      <w:r w:rsidR="005B7DEC">
        <w:t xml:space="preserve">discussion </w:t>
      </w:r>
      <w:r w:rsidR="00C42217">
        <w:t xml:space="preserve">will </w:t>
      </w:r>
      <w:r w:rsidR="00EC6134">
        <w:t>further</w:t>
      </w:r>
      <w:r w:rsidR="003829C6">
        <w:t xml:space="preserve"> </w:t>
      </w:r>
      <w:r w:rsidR="007D6800">
        <w:t xml:space="preserve">the Center’s </w:t>
      </w:r>
      <w:r w:rsidR="003829C6">
        <w:t>goal of equipping Michigan citizens and other decisionmake</w:t>
      </w:r>
      <w:r w:rsidR="00C42217">
        <w:t>r</w:t>
      </w:r>
      <w:r w:rsidR="003829C6">
        <w:t xml:space="preserve">s with </w:t>
      </w:r>
      <w:r w:rsidR="005A3696">
        <w:t>objective analysis to better evaluate policy options</w:t>
      </w:r>
      <w:r w:rsidR="00EC6134">
        <w:t xml:space="preserve"> </w:t>
      </w:r>
      <w:r w:rsidR="00102837">
        <w:t>–</w:t>
      </w:r>
      <w:r w:rsidR="00EC6134">
        <w:t xml:space="preserve"> a</w:t>
      </w:r>
      <w:r w:rsidR="005A3696">
        <w:t xml:space="preserve"> worthy </w:t>
      </w:r>
      <w:r w:rsidR="007A1FBC">
        <w:t>function</w:t>
      </w:r>
      <w:r w:rsidR="005A3696">
        <w:t xml:space="preserve"> indeed.  </w:t>
      </w:r>
      <w:r w:rsidR="003829C6">
        <w:t xml:space="preserve">  </w:t>
      </w:r>
    </w:p>
    <w:p w:rsidR="00C6566B"/>
    <w:p w:rsidR="00052FDB">
      <w:r>
        <w:t>Last week was a big week in communications policy</w:t>
      </w:r>
      <w:r w:rsidR="00805510">
        <w:t xml:space="preserve">.  </w:t>
      </w:r>
      <w:r w:rsidR="005B7DEC">
        <w:t>T</w:t>
      </w:r>
      <w:r>
        <w:t>wo key principles</w:t>
      </w:r>
      <w:r w:rsidR="00DA61A9">
        <w:t xml:space="preserve"> </w:t>
      </w:r>
      <w:r>
        <w:t>that I have long believed to be true</w:t>
      </w:r>
      <w:r w:rsidR="00DA61A9">
        <w:t xml:space="preserve"> were</w:t>
      </w:r>
      <w:r w:rsidR="005753B5">
        <w:t xml:space="preserve"> </w:t>
      </w:r>
      <w:r>
        <w:t xml:space="preserve">reaffirmed.  First, removing </w:t>
      </w:r>
      <w:r w:rsidR="00DA61A9">
        <w:t xml:space="preserve">the </w:t>
      </w:r>
      <w:r>
        <w:t xml:space="preserve">heavy-handed Title II regulations </w:t>
      </w:r>
      <w:r w:rsidR="00CB0488">
        <w:t>from</w:t>
      </w:r>
      <w:r>
        <w:t xml:space="preserve"> the Internet did not result in the Armageddon we were all </w:t>
      </w:r>
      <w:r w:rsidR="00467077">
        <w:t>led to believe</w:t>
      </w:r>
      <w:r>
        <w:t xml:space="preserve">.  </w:t>
      </w:r>
      <w:r w:rsidR="00805510">
        <w:t xml:space="preserve">More specifically, the </w:t>
      </w:r>
      <w:r w:rsidR="00446A2A">
        <w:t xml:space="preserve">Federal Communications </w:t>
      </w:r>
      <w:r w:rsidR="00805510">
        <w:t xml:space="preserve">Commission’s </w:t>
      </w:r>
      <w:r w:rsidR="00446A2A">
        <w:t xml:space="preserve">(the FCC or Commission) </w:t>
      </w:r>
      <w:r w:rsidR="00805510">
        <w:t xml:space="preserve">harmful 2015 Net Neutrality rules officially </w:t>
      </w:r>
      <w:r w:rsidR="009B5057">
        <w:t>expired,</w:t>
      </w:r>
      <w:r w:rsidR="00805510">
        <w:t xml:space="preserve"> and consumers </w:t>
      </w:r>
      <w:r w:rsidR="009B5057">
        <w:t xml:space="preserve">were able </w:t>
      </w:r>
      <w:r w:rsidR="00805510">
        <w:t xml:space="preserve">to </w:t>
      </w:r>
      <w:r w:rsidR="005A3696">
        <w:t xml:space="preserve">access and enjoy </w:t>
      </w:r>
      <w:r w:rsidR="00805510">
        <w:t xml:space="preserve">the same </w:t>
      </w:r>
      <w:r w:rsidR="005753B5">
        <w:t xml:space="preserve">exact </w:t>
      </w:r>
      <w:r w:rsidR="00805510">
        <w:t xml:space="preserve">Internet </w:t>
      </w:r>
      <w:r w:rsidR="005A3696">
        <w:t xml:space="preserve">experience </w:t>
      </w:r>
      <w:r w:rsidR="00805510">
        <w:t xml:space="preserve">absent </w:t>
      </w:r>
      <w:r w:rsidR="005A3696">
        <w:t>said</w:t>
      </w:r>
      <w:r w:rsidR="00805510">
        <w:t xml:space="preserve"> rules.  </w:t>
      </w:r>
      <w:r>
        <w:t xml:space="preserve">And, second, </w:t>
      </w:r>
      <w:r w:rsidR="009B5057">
        <w:t>a monumental</w:t>
      </w:r>
      <w:r w:rsidR="009D202B">
        <w:t xml:space="preserve"> and headline grabbing</w:t>
      </w:r>
      <w:r w:rsidR="009B5057">
        <w:t xml:space="preserve"> judicial decision solidified that </w:t>
      </w:r>
      <w:r>
        <w:t xml:space="preserve">the video marketplace is </w:t>
      </w:r>
      <w:r w:rsidR="0006372C">
        <w:t xml:space="preserve">exponentially </w:t>
      </w:r>
      <w:r>
        <w:t xml:space="preserve">broader than many in government </w:t>
      </w:r>
      <w:r w:rsidR="005A3696">
        <w:t>can</w:t>
      </w:r>
      <w:r w:rsidR="009B5057">
        <w:t xml:space="preserve"> conceive</w:t>
      </w:r>
      <w:r w:rsidR="005A3696">
        <w:t xml:space="preserve"> or would like to admit</w:t>
      </w:r>
      <w:r>
        <w:t>.  Today, I would like to spend my introductory remarks focused on this la</w:t>
      </w:r>
      <w:r w:rsidR="00805510">
        <w:t>tt</w:t>
      </w:r>
      <w:r>
        <w:t xml:space="preserve">er topic.  </w:t>
      </w:r>
    </w:p>
    <w:p w:rsidR="00052FDB"/>
    <w:p w:rsidR="0063763A">
      <w:r>
        <w:t xml:space="preserve">As many of you know, last Tuesday Judge </w:t>
      </w:r>
      <w:r w:rsidR="00805510">
        <w:t xml:space="preserve">Richard </w:t>
      </w:r>
      <w:r>
        <w:t xml:space="preserve">Leon </w:t>
      </w:r>
      <w:r w:rsidR="00805510">
        <w:t xml:space="preserve">of the U.S. District Court for the District of Columbia </w:t>
      </w:r>
      <w:r>
        <w:t xml:space="preserve">ruled against the </w:t>
      </w:r>
      <w:r w:rsidR="009B5057">
        <w:t xml:space="preserve">U.S. </w:t>
      </w:r>
      <w:r>
        <w:t xml:space="preserve">government and in favor of AT&amp;T’s </w:t>
      </w:r>
      <w:r w:rsidR="009B5057">
        <w:t xml:space="preserve">application to </w:t>
      </w:r>
      <w:r>
        <w:t xml:space="preserve">merge with Time Warner, without </w:t>
      </w:r>
      <w:r w:rsidR="009B5057">
        <w:t xml:space="preserve">the imposition of any </w:t>
      </w:r>
      <w:r>
        <w:t xml:space="preserve">conditions.  </w:t>
      </w:r>
      <w:r w:rsidR="009B5057">
        <w:t xml:space="preserve">Judge Leon </w:t>
      </w:r>
      <w:r>
        <w:t xml:space="preserve">began his 172-page analysis with an observation that, I believe, eloquently describes the current state of play between government bureaucrats and industry players: “If there ever were an antitrust case where the parties had a dramatically different assessment of the current state of the relevant market and a fundamentally different vision of the future development, this is the one.” </w:t>
      </w:r>
    </w:p>
    <w:p w:rsidR="00052FDB"/>
    <w:p w:rsidR="005A3696">
      <w:r>
        <w:t xml:space="preserve">From </w:t>
      </w:r>
      <w:r w:rsidR="00070398">
        <w:t>the viewpoint of many</w:t>
      </w:r>
      <w:r w:rsidR="00052FDB">
        <w:t>,</w:t>
      </w:r>
      <w:r w:rsidR="00070398">
        <w:t xml:space="preserve"> </w:t>
      </w:r>
      <w:r w:rsidR="00052FDB">
        <w:t xml:space="preserve">both the </w:t>
      </w:r>
      <w:r w:rsidR="0050777B">
        <w:t>FCC</w:t>
      </w:r>
      <w:r w:rsidR="00052FDB">
        <w:t xml:space="preserve"> and Department of Justice have been stuck in </w:t>
      </w:r>
      <w:r>
        <w:t xml:space="preserve">administrative </w:t>
      </w:r>
      <w:r w:rsidR="00052FDB">
        <w:t xml:space="preserve">molasses, seeking to apply </w:t>
      </w:r>
      <w:r w:rsidR="00070398">
        <w:t xml:space="preserve">sectoral </w:t>
      </w:r>
      <w:r>
        <w:t xml:space="preserve">market analysis, </w:t>
      </w:r>
      <w:r w:rsidR="00070398">
        <w:t>preserve questionable bright line tests</w:t>
      </w:r>
      <w:r w:rsidR="00102837">
        <w:t>,</w:t>
      </w:r>
      <w:r>
        <w:t xml:space="preserve"> and </w:t>
      </w:r>
      <w:r w:rsidR="008A1CFE">
        <w:t>continue</w:t>
      </w:r>
      <w:r w:rsidR="00DA61A9">
        <w:t xml:space="preserve"> </w:t>
      </w:r>
      <w:r w:rsidR="00070398">
        <w:t>the imposition of rigid restrictions</w:t>
      </w:r>
      <w:r>
        <w:t xml:space="preserve"> as part of transactional </w:t>
      </w:r>
      <w:r w:rsidR="00052FDB">
        <w:t xml:space="preserve">reviews the same way </w:t>
      </w:r>
      <w:r w:rsidR="008A1CFE">
        <w:t>now as</w:t>
      </w:r>
      <w:r w:rsidR="00052FDB">
        <w:t xml:space="preserve"> in 2008, 1988</w:t>
      </w:r>
      <w:r w:rsidR="00805510">
        <w:t>, or 1958</w:t>
      </w:r>
      <w:r w:rsidR="00052FDB">
        <w:t>.</w:t>
      </w:r>
      <w:r w:rsidR="00070398">
        <w:t xml:space="preserve">  I would posit that the entire foundation </w:t>
      </w:r>
      <w:r w:rsidR="00DA61A9">
        <w:t xml:space="preserve">of </w:t>
      </w:r>
      <w:r w:rsidR="00070398">
        <w:t xml:space="preserve">how </w:t>
      </w:r>
      <w:r w:rsidR="00102837">
        <w:t>the government currently</w:t>
      </w:r>
      <w:r w:rsidR="00070398">
        <w:t xml:space="preserve"> view</w:t>
      </w:r>
      <w:r w:rsidR="00102837">
        <w:t>s</w:t>
      </w:r>
      <w:r w:rsidR="00070398">
        <w:t xml:space="preserve"> the “communications” market – be it voice, video, or data – is outdated and misguided.  </w:t>
      </w:r>
    </w:p>
    <w:p w:rsidR="005A3696"/>
    <w:p w:rsidR="00102837">
      <w:r>
        <w:t xml:space="preserve">Consider that </w:t>
      </w:r>
      <w:r w:rsidR="00052FDB">
        <w:t>the Commission adopted</w:t>
      </w:r>
      <w:r w:rsidR="005A3696">
        <w:t xml:space="preserve"> </w:t>
      </w:r>
      <w:r w:rsidR="008A1CFE">
        <w:t xml:space="preserve">in </w:t>
      </w:r>
      <w:r>
        <w:t>previous</w:t>
      </w:r>
      <w:r w:rsidR="005A3696">
        <w:t xml:space="preserve"> Quadrennial reports</w:t>
      </w:r>
      <w:r w:rsidR="00FD7C64">
        <w:t xml:space="preserve"> and</w:t>
      </w:r>
      <w:r w:rsidR="005A3696">
        <w:t xml:space="preserve"> transaction</w:t>
      </w:r>
      <w:r w:rsidR="00FD7C64">
        <w:t xml:space="preserve"> review</w:t>
      </w:r>
      <w:r w:rsidR="005A3696">
        <w:t>s</w:t>
      </w:r>
      <w:r w:rsidR="00142354">
        <w:t>,</w:t>
      </w:r>
      <w:r w:rsidR="00052FDB">
        <w:t xml:space="preserve"> an</w:t>
      </w:r>
      <w:r w:rsidR="00142354">
        <w:t>d</w:t>
      </w:r>
      <w:r w:rsidR="00052FDB">
        <w:t xml:space="preserve"> </w:t>
      </w:r>
      <w:r w:rsidR="00142354">
        <w:t xml:space="preserve">continues to maintain, an </w:t>
      </w:r>
      <w:r w:rsidR="00052FDB">
        <w:t xml:space="preserve">extremely narrow definition </w:t>
      </w:r>
      <w:r w:rsidR="00C42217">
        <w:t xml:space="preserve">and scope </w:t>
      </w:r>
      <w:r w:rsidR="00052FDB">
        <w:t xml:space="preserve">of the </w:t>
      </w:r>
      <w:r w:rsidR="00142354">
        <w:t xml:space="preserve">media marketplace.  </w:t>
      </w:r>
      <w:r w:rsidR="008A1CFE">
        <w:t>Case in point is the</w:t>
      </w:r>
      <w:r w:rsidR="00C42217">
        <w:t xml:space="preserve"> consideration of the Commission’s </w:t>
      </w:r>
      <w:r w:rsidR="00052FDB">
        <w:t>media ownership rules</w:t>
      </w:r>
      <w:r w:rsidR="00C42217">
        <w:t xml:space="preserve">.  </w:t>
      </w:r>
      <w:r w:rsidR="00C42217">
        <w:t>The prevailing and outdated perspective is that</w:t>
      </w:r>
      <w:r w:rsidR="00052FDB">
        <w:t xml:space="preserve"> </w:t>
      </w:r>
      <w:r w:rsidR="00C42217">
        <w:t>individual communications sectors do not compete</w:t>
      </w:r>
      <w:r>
        <w:t xml:space="preserve"> with one another</w:t>
      </w:r>
      <w:r w:rsidR="00C42217">
        <w:t>.  Under such</w:t>
      </w:r>
      <w:r w:rsidR="00467077">
        <w:t xml:space="preserve"> </w:t>
      </w:r>
      <w:r w:rsidR="00C42217">
        <w:t xml:space="preserve">siloed </w:t>
      </w:r>
      <w:r w:rsidR="00467077">
        <w:t>thinking</w:t>
      </w:r>
      <w:r w:rsidR="00C42217">
        <w:t xml:space="preserve">, </w:t>
      </w:r>
      <w:r w:rsidR="00052FDB">
        <w:t xml:space="preserve">AM radio only competes with AM radio, FM radio only competes with FM radio, and local </w:t>
      </w:r>
      <w:r w:rsidR="00A568F1">
        <w:t xml:space="preserve">television </w:t>
      </w:r>
      <w:r w:rsidR="00052FDB">
        <w:t xml:space="preserve">broadcasters only compete with other local </w:t>
      </w:r>
      <w:r w:rsidR="00A568F1">
        <w:t>stations</w:t>
      </w:r>
      <w:r w:rsidR="00052FDB">
        <w:t xml:space="preserve">.  </w:t>
      </w:r>
    </w:p>
    <w:p w:rsidR="00102837"/>
    <w:p w:rsidR="00E835E1">
      <w:r>
        <w:t xml:space="preserve">The problem with such an </w:t>
      </w:r>
      <w:r w:rsidR="00C42217">
        <w:t>approach</w:t>
      </w:r>
      <w:r>
        <w:t>, of course, is that when you narrowly define a marketplace and narrowly recognize competition</w:t>
      </w:r>
      <w:r w:rsidR="00102837">
        <w:t xml:space="preserve"> –</w:t>
      </w:r>
      <w:r w:rsidR="00C42217">
        <w:t xml:space="preserve"> far devoid from market realities</w:t>
      </w:r>
      <w:r w:rsidR="00102837">
        <w:t xml:space="preserve"> –</w:t>
      </w:r>
      <w:r>
        <w:t xml:space="preserve"> the result typically </w:t>
      </w:r>
      <w:r w:rsidR="00142354">
        <w:t>le</w:t>
      </w:r>
      <w:r w:rsidR="00C42217">
        <w:t xml:space="preserve">ads to the application of additional </w:t>
      </w:r>
      <w:r>
        <w:t>regulations</w:t>
      </w:r>
      <w:r w:rsidR="00C42217">
        <w:t xml:space="preserve"> or limitations beyond what is necessary to protect consumers</w:t>
      </w:r>
      <w:r>
        <w:t xml:space="preserve">.  Perhaps that’s </w:t>
      </w:r>
      <w:r w:rsidR="008F45CE">
        <w:t>just the nature of the beast</w:t>
      </w:r>
      <w:r>
        <w:t xml:space="preserve">.  But, as Judge Leon recognized in his decision, </w:t>
      </w:r>
      <w:r>
        <w:t>there has been a “veritable explosion” in the media marketplace in just the last five years.</w:t>
      </w:r>
      <w:r w:rsidR="00C42217">
        <w:t xml:space="preserve">  In the video space, Netflix, YouTube, Hulu</w:t>
      </w:r>
      <w:r w:rsidR="00FD7C64">
        <w:t>,</w:t>
      </w:r>
      <w:r w:rsidR="00C42217">
        <w:t xml:space="preserve"> and so many other over-the-top providers now compete directly for consumer attention and the almighty advertising dollars.  </w:t>
      </w:r>
      <w:r w:rsidR="00446A2A">
        <w:t>In the audio space, there is also satellite radio and</w:t>
      </w:r>
      <w:r w:rsidR="00413740">
        <w:t xml:space="preserve"> a </w:t>
      </w:r>
      <w:r w:rsidR="00446A2A">
        <w:t xml:space="preserve">myriad </w:t>
      </w:r>
      <w:r w:rsidR="00413740">
        <w:t xml:space="preserve">of </w:t>
      </w:r>
      <w:r w:rsidR="00446A2A">
        <w:t xml:space="preserve">Internet offerings, including the ability to stream most radio stations from their own websites.  </w:t>
      </w:r>
      <w:r w:rsidR="00C42217">
        <w:t xml:space="preserve">This has an impact on the ability of </w:t>
      </w:r>
      <w:r w:rsidR="005353B4">
        <w:t>traditional media</w:t>
      </w:r>
      <w:r w:rsidR="00A568F1">
        <w:t xml:space="preserve"> </w:t>
      </w:r>
      <w:r w:rsidR="00C42217">
        <w:t xml:space="preserve">providers to </w:t>
      </w:r>
      <w:r w:rsidR="005353B4">
        <w:t>cover their costs</w:t>
      </w:r>
      <w:r w:rsidR="00C42217">
        <w:t>, make capital investments, expand operations to meet consumer needs</w:t>
      </w:r>
      <w:r w:rsidR="00102837">
        <w:t>,</w:t>
      </w:r>
      <w:r w:rsidR="00C42217">
        <w:t xml:space="preserve"> and so much more. </w:t>
      </w:r>
      <w:r>
        <w:t xml:space="preserve"> </w:t>
      </w:r>
      <w:r w:rsidR="00C42217">
        <w:t xml:space="preserve">Broadly, </w:t>
      </w:r>
      <w:r w:rsidR="005353B4">
        <w:t xml:space="preserve">this </w:t>
      </w:r>
      <w:r w:rsidR="00C42217">
        <w:t xml:space="preserve">means </w:t>
      </w:r>
      <w:r w:rsidR="005353B4">
        <w:t xml:space="preserve">that, given the </w:t>
      </w:r>
      <w:r w:rsidR="00961CB2">
        <w:t xml:space="preserve">extensive </w:t>
      </w:r>
      <w:r w:rsidR="005353B4">
        <w:t xml:space="preserve">competition from </w:t>
      </w:r>
      <w:r w:rsidR="00961CB2">
        <w:t>new technologies</w:t>
      </w:r>
      <w:r w:rsidR="00A8786D">
        <w:t>,</w:t>
      </w:r>
      <w:r w:rsidR="005353B4">
        <w:t xml:space="preserve"> </w:t>
      </w:r>
      <w:r w:rsidR="00C42217">
        <w:t xml:space="preserve">the current </w:t>
      </w:r>
      <w:r>
        <w:t xml:space="preserve">generation </w:t>
      </w:r>
      <w:r w:rsidR="00C42217">
        <w:t xml:space="preserve">of legacy </w:t>
      </w:r>
      <w:r>
        <w:t xml:space="preserve">media </w:t>
      </w:r>
      <w:r w:rsidR="005353B4">
        <w:t>will only flourish</w:t>
      </w:r>
      <w:r w:rsidR="00961CB2">
        <w:t>, and perhaps survive,</w:t>
      </w:r>
      <w:r w:rsidR="005353B4">
        <w:t xml:space="preserve"> </w:t>
      </w:r>
      <w:r>
        <w:t xml:space="preserve">if </w:t>
      </w:r>
      <w:r w:rsidR="005353B4">
        <w:t xml:space="preserve">the government </w:t>
      </w:r>
      <w:r>
        <w:t>recognizes this market</w:t>
      </w:r>
      <w:r w:rsidR="005353B4">
        <w:t>place</w:t>
      </w:r>
      <w:r>
        <w:t xml:space="preserve"> reality.  </w:t>
      </w:r>
    </w:p>
    <w:p w:rsidR="00E835E1" w:rsidP="00E835E1">
      <w:pPr>
        <w:shd w:val="clear" w:color="auto" w:fill="FFFFFF"/>
        <w:rPr>
          <w:rFonts w:eastAsia="Times New Roman" w:cstheme="minorHAnsi"/>
          <w:bCs/>
          <w:color w:val="000000" w:themeColor="text1"/>
        </w:rPr>
      </w:pPr>
    </w:p>
    <w:p w:rsidR="00CC0C45" w:rsidP="00142354">
      <w:pPr>
        <w:shd w:val="clear" w:color="auto" w:fill="FFFFFF"/>
        <w:rPr>
          <w:rFonts w:eastAsia="Times New Roman" w:cstheme="minorHAnsi"/>
          <w:bCs/>
          <w:color w:val="000000" w:themeColor="text1"/>
        </w:rPr>
      </w:pPr>
      <w:r>
        <w:rPr>
          <w:rFonts w:eastAsia="Times New Roman" w:cstheme="minorHAnsi"/>
          <w:bCs/>
          <w:color w:val="000000" w:themeColor="text1"/>
        </w:rPr>
        <w:t>Accordingly</w:t>
      </w:r>
      <w:r w:rsidR="00C42217">
        <w:rPr>
          <w:rFonts w:eastAsia="Times New Roman" w:cstheme="minorHAnsi"/>
          <w:bCs/>
          <w:color w:val="000000" w:themeColor="text1"/>
        </w:rPr>
        <w:t xml:space="preserve">, all relevant participants: </w:t>
      </w:r>
      <w:r w:rsidRPr="001614D5" w:rsidR="00E835E1">
        <w:rPr>
          <w:rFonts w:eastAsia="Times New Roman" w:cstheme="minorHAnsi"/>
          <w:bCs/>
          <w:color w:val="000000" w:themeColor="text1"/>
        </w:rPr>
        <w:t xml:space="preserve">newspapers, radio stations, </w:t>
      </w:r>
      <w:r w:rsidR="00B8606B">
        <w:rPr>
          <w:rFonts w:eastAsia="Times New Roman" w:cstheme="minorHAnsi"/>
          <w:bCs/>
          <w:color w:val="000000" w:themeColor="text1"/>
        </w:rPr>
        <w:t xml:space="preserve">broadcast </w:t>
      </w:r>
      <w:r w:rsidRPr="001614D5" w:rsidR="00E835E1">
        <w:rPr>
          <w:rFonts w:eastAsia="Times New Roman" w:cstheme="minorHAnsi"/>
          <w:bCs/>
          <w:color w:val="000000" w:themeColor="text1"/>
        </w:rPr>
        <w:t xml:space="preserve">television stations, </w:t>
      </w:r>
      <w:r w:rsidR="00142354">
        <w:rPr>
          <w:rFonts w:eastAsia="Times New Roman" w:cstheme="minorHAnsi"/>
          <w:bCs/>
          <w:color w:val="000000" w:themeColor="text1"/>
        </w:rPr>
        <w:t xml:space="preserve">cable companies, </w:t>
      </w:r>
      <w:r w:rsidRPr="001614D5" w:rsidR="00E835E1">
        <w:rPr>
          <w:rFonts w:eastAsia="Times New Roman" w:cstheme="minorHAnsi"/>
          <w:bCs/>
          <w:color w:val="000000" w:themeColor="text1"/>
        </w:rPr>
        <w:t>over-the-top providers, Internet sites, social media platforms, streaming music services, and satellite radio</w:t>
      </w:r>
      <w:r w:rsidR="00E835E1">
        <w:rPr>
          <w:rFonts w:eastAsia="Times New Roman" w:cstheme="minorHAnsi"/>
          <w:bCs/>
          <w:color w:val="000000" w:themeColor="text1"/>
        </w:rPr>
        <w:t xml:space="preserve"> </w:t>
      </w:r>
      <w:r w:rsidR="00C42217">
        <w:rPr>
          <w:rFonts w:eastAsia="Times New Roman" w:cstheme="minorHAnsi"/>
          <w:bCs/>
          <w:color w:val="000000" w:themeColor="text1"/>
        </w:rPr>
        <w:t xml:space="preserve">must be included </w:t>
      </w:r>
      <w:r w:rsidR="00E835E1">
        <w:rPr>
          <w:rFonts w:eastAsia="Times New Roman" w:cstheme="minorHAnsi"/>
          <w:bCs/>
          <w:color w:val="000000" w:themeColor="text1"/>
        </w:rPr>
        <w:t>in any media market definition.</w:t>
      </w:r>
      <w:r>
        <w:rPr>
          <w:rFonts w:eastAsia="Times New Roman" w:cstheme="minorHAnsi"/>
          <w:bCs/>
          <w:color w:val="000000" w:themeColor="text1"/>
        </w:rPr>
        <w:t xml:space="preserve">  When I talk to </w:t>
      </w:r>
      <w:r w:rsidR="00C42217">
        <w:rPr>
          <w:rFonts w:eastAsia="Times New Roman" w:cstheme="minorHAnsi"/>
          <w:bCs/>
          <w:color w:val="000000" w:themeColor="text1"/>
        </w:rPr>
        <w:t xml:space="preserve">existing </w:t>
      </w:r>
      <w:r>
        <w:rPr>
          <w:rFonts w:eastAsia="Times New Roman" w:cstheme="minorHAnsi"/>
          <w:bCs/>
          <w:color w:val="000000" w:themeColor="text1"/>
        </w:rPr>
        <w:t xml:space="preserve">providers in this space they explain </w:t>
      </w:r>
      <w:r w:rsidR="00C42217">
        <w:rPr>
          <w:rFonts w:eastAsia="Times New Roman" w:cstheme="minorHAnsi"/>
          <w:bCs/>
          <w:color w:val="000000" w:themeColor="text1"/>
        </w:rPr>
        <w:t xml:space="preserve">quite clearly </w:t>
      </w:r>
      <w:r>
        <w:rPr>
          <w:rFonts w:eastAsia="Times New Roman" w:cstheme="minorHAnsi"/>
          <w:bCs/>
          <w:color w:val="000000" w:themeColor="text1"/>
        </w:rPr>
        <w:t xml:space="preserve">to me how their </w:t>
      </w:r>
      <w:r w:rsidR="00C42217">
        <w:rPr>
          <w:rFonts w:eastAsia="Times New Roman" w:cstheme="minorHAnsi"/>
          <w:bCs/>
          <w:color w:val="000000" w:themeColor="text1"/>
        </w:rPr>
        <w:t>future plans</w:t>
      </w:r>
      <w:r>
        <w:rPr>
          <w:rFonts w:eastAsia="Times New Roman" w:cstheme="minorHAnsi"/>
          <w:bCs/>
          <w:color w:val="000000" w:themeColor="text1"/>
        </w:rPr>
        <w:t xml:space="preserve"> are centered around competing </w:t>
      </w:r>
      <w:r w:rsidR="00C42217">
        <w:rPr>
          <w:rFonts w:eastAsia="Times New Roman" w:cstheme="minorHAnsi"/>
          <w:bCs/>
          <w:color w:val="000000" w:themeColor="text1"/>
        </w:rPr>
        <w:t xml:space="preserve">against all of those operating in the </w:t>
      </w:r>
      <w:r>
        <w:rPr>
          <w:rFonts w:eastAsia="Times New Roman" w:cstheme="minorHAnsi"/>
          <w:bCs/>
          <w:color w:val="000000" w:themeColor="text1"/>
        </w:rPr>
        <w:t>market</w:t>
      </w:r>
      <w:r w:rsidR="00C42217">
        <w:rPr>
          <w:rFonts w:eastAsia="Times New Roman" w:cstheme="minorHAnsi"/>
          <w:bCs/>
          <w:color w:val="000000" w:themeColor="text1"/>
        </w:rPr>
        <w:t xml:space="preserve">, especially </w:t>
      </w:r>
      <w:r w:rsidR="005353B4">
        <w:rPr>
          <w:rFonts w:eastAsia="Times New Roman" w:cstheme="minorHAnsi"/>
          <w:bCs/>
          <w:color w:val="000000" w:themeColor="text1"/>
        </w:rPr>
        <w:t xml:space="preserve">given </w:t>
      </w:r>
      <w:r w:rsidR="00C42217">
        <w:rPr>
          <w:rFonts w:eastAsia="Times New Roman" w:cstheme="minorHAnsi"/>
          <w:bCs/>
          <w:color w:val="000000" w:themeColor="text1"/>
        </w:rPr>
        <w:t xml:space="preserve">the development and scale of </w:t>
      </w:r>
      <w:r>
        <w:rPr>
          <w:rFonts w:eastAsia="Times New Roman" w:cstheme="minorHAnsi"/>
          <w:bCs/>
          <w:color w:val="000000" w:themeColor="text1"/>
        </w:rPr>
        <w:t xml:space="preserve">two </w:t>
      </w:r>
      <w:r w:rsidR="007D6800">
        <w:rPr>
          <w:rFonts w:eastAsia="Times New Roman" w:cstheme="minorHAnsi"/>
          <w:bCs/>
          <w:color w:val="000000" w:themeColor="text1"/>
        </w:rPr>
        <w:t xml:space="preserve">large </w:t>
      </w:r>
      <w:r w:rsidR="00C42217">
        <w:rPr>
          <w:rFonts w:eastAsia="Times New Roman" w:cstheme="minorHAnsi"/>
          <w:bCs/>
          <w:color w:val="000000" w:themeColor="text1"/>
        </w:rPr>
        <w:t xml:space="preserve">Internet </w:t>
      </w:r>
      <w:r>
        <w:rPr>
          <w:rFonts w:eastAsia="Times New Roman" w:cstheme="minorHAnsi"/>
          <w:bCs/>
          <w:color w:val="000000" w:themeColor="text1"/>
        </w:rPr>
        <w:t xml:space="preserve">companies: Facebook and Google.  </w:t>
      </w:r>
      <w:r w:rsidR="00753588">
        <w:rPr>
          <w:rFonts w:eastAsia="Times New Roman" w:cstheme="minorHAnsi"/>
          <w:bCs/>
          <w:color w:val="000000" w:themeColor="text1"/>
        </w:rPr>
        <w:t xml:space="preserve">In not recognizing this in our rules, we shackle </w:t>
      </w:r>
      <w:r>
        <w:rPr>
          <w:rFonts w:eastAsia="Times New Roman" w:cstheme="minorHAnsi"/>
          <w:bCs/>
          <w:color w:val="000000" w:themeColor="text1"/>
        </w:rPr>
        <w:t xml:space="preserve">certain </w:t>
      </w:r>
      <w:r w:rsidR="00753588">
        <w:rPr>
          <w:rFonts w:eastAsia="Times New Roman" w:cstheme="minorHAnsi"/>
          <w:bCs/>
          <w:color w:val="000000" w:themeColor="text1"/>
        </w:rPr>
        <w:t>competitors</w:t>
      </w:r>
      <w:r w:rsidR="007839A9">
        <w:rPr>
          <w:rFonts w:eastAsia="Times New Roman" w:cstheme="minorHAnsi"/>
          <w:bCs/>
          <w:color w:val="000000" w:themeColor="text1"/>
        </w:rPr>
        <w:t xml:space="preserve">, skewing the market in favor of the unregulated industries.  </w:t>
      </w:r>
    </w:p>
    <w:p w:rsidR="00CC0C45" w:rsidP="00142354">
      <w:pPr>
        <w:shd w:val="clear" w:color="auto" w:fill="FFFFFF"/>
        <w:rPr>
          <w:rFonts w:eastAsia="Times New Roman" w:cstheme="minorHAnsi"/>
          <w:bCs/>
          <w:color w:val="000000" w:themeColor="text1"/>
        </w:rPr>
      </w:pPr>
    </w:p>
    <w:p w:rsidR="00B96C0B" w:rsidP="00071423">
      <w:pPr>
        <w:shd w:val="clear" w:color="auto" w:fill="FFFFFF"/>
        <w:rPr>
          <w:rFonts w:eastAsia="Times New Roman" w:cstheme="minorHAnsi"/>
          <w:bCs/>
          <w:color w:val="000000" w:themeColor="text1"/>
        </w:rPr>
      </w:pPr>
      <w:r>
        <w:rPr>
          <w:rFonts w:eastAsia="Times New Roman" w:cstheme="minorHAnsi"/>
          <w:bCs/>
          <w:color w:val="000000" w:themeColor="text1"/>
        </w:rPr>
        <w:t>H</w:t>
      </w:r>
      <w:r w:rsidR="007839A9">
        <w:rPr>
          <w:rFonts w:eastAsia="Times New Roman" w:cstheme="minorHAnsi"/>
          <w:bCs/>
          <w:color w:val="000000" w:themeColor="text1"/>
        </w:rPr>
        <w:t>av</w:t>
      </w:r>
      <w:r w:rsidR="00B70397">
        <w:rPr>
          <w:rFonts w:eastAsia="Times New Roman" w:cstheme="minorHAnsi"/>
          <w:bCs/>
          <w:color w:val="000000" w:themeColor="text1"/>
        </w:rPr>
        <w:t>ing</w:t>
      </w:r>
      <w:r w:rsidR="00B8606B">
        <w:rPr>
          <w:rFonts w:eastAsia="Times New Roman" w:cstheme="minorHAnsi"/>
          <w:bCs/>
          <w:color w:val="000000" w:themeColor="text1"/>
        </w:rPr>
        <w:t xml:space="preserve"> a dynamic un</w:t>
      </w:r>
      <w:r w:rsidR="00B70397">
        <w:rPr>
          <w:rFonts w:eastAsia="Times New Roman" w:cstheme="minorHAnsi"/>
          <w:bCs/>
          <w:color w:val="000000" w:themeColor="text1"/>
        </w:rPr>
        <w:t>derstanding of where the market</w:t>
      </w:r>
      <w:r w:rsidR="00B8606B">
        <w:rPr>
          <w:rFonts w:eastAsia="Times New Roman" w:cstheme="minorHAnsi"/>
          <w:bCs/>
          <w:color w:val="000000" w:themeColor="text1"/>
        </w:rPr>
        <w:t xml:space="preserve">place stands at </w:t>
      </w:r>
      <w:r>
        <w:rPr>
          <w:rFonts w:eastAsia="Times New Roman" w:cstheme="minorHAnsi"/>
          <w:bCs/>
          <w:color w:val="000000" w:themeColor="text1"/>
        </w:rPr>
        <w:t>the current time</w:t>
      </w:r>
      <w:r w:rsidR="00B8606B">
        <w:rPr>
          <w:rFonts w:eastAsia="Times New Roman" w:cstheme="minorHAnsi"/>
          <w:bCs/>
          <w:color w:val="000000" w:themeColor="text1"/>
        </w:rPr>
        <w:t xml:space="preserve">, </w:t>
      </w:r>
      <w:r w:rsidR="00410FE0">
        <w:rPr>
          <w:rFonts w:eastAsia="Times New Roman" w:cstheme="minorHAnsi"/>
          <w:bCs/>
          <w:color w:val="000000" w:themeColor="text1"/>
        </w:rPr>
        <w:t xml:space="preserve">along with the </w:t>
      </w:r>
      <w:r w:rsidR="00B8606B">
        <w:rPr>
          <w:rFonts w:eastAsia="Times New Roman" w:cstheme="minorHAnsi"/>
          <w:bCs/>
          <w:color w:val="000000" w:themeColor="text1"/>
        </w:rPr>
        <w:t>agility to adapt as the market changes</w:t>
      </w:r>
      <w:r>
        <w:rPr>
          <w:rFonts w:eastAsia="Times New Roman" w:cstheme="minorHAnsi"/>
          <w:bCs/>
          <w:color w:val="000000" w:themeColor="text1"/>
        </w:rPr>
        <w:t>, allows either the FCC or DOJ to conduct a fair but accurate analysis</w:t>
      </w:r>
      <w:r w:rsidR="007A1FBC">
        <w:rPr>
          <w:rFonts w:eastAsia="Times New Roman" w:cstheme="minorHAnsi"/>
          <w:bCs/>
          <w:color w:val="000000" w:themeColor="text1"/>
        </w:rPr>
        <w:t>, which should be of top priority</w:t>
      </w:r>
      <w:r w:rsidR="00B8606B">
        <w:rPr>
          <w:rFonts w:eastAsia="Times New Roman" w:cstheme="minorHAnsi"/>
          <w:bCs/>
          <w:color w:val="000000" w:themeColor="text1"/>
        </w:rPr>
        <w:t xml:space="preserve">.  </w:t>
      </w:r>
      <w:r w:rsidR="00142354">
        <w:rPr>
          <w:rFonts w:eastAsia="Times New Roman" w:cstheme="minorHAnsi"/>
          <w:bCs/>
          <w:color w:val="000000" w:themeColor="text1"/>
        </w:rPr>
        <w:t xml:space="preserve">For example, one of the major reasons </w:t>
      </w:r>
      <w:r w:rsidR="00410FE0">
        <w:rPr>
          <w:rFonts w:eastAsia="Times New Roman" w:cstheme="minorHAnsi"/>
          <w:bCs/>
          <w:color w:val="000000" w:themeColor="text1"/>
        </w:rPr>
        <w:t xml:space="preserve">cited </w:t>
      </w:r>
      <w:r w:rsidR="00142354">
        <w:rPr>
          <w:rFonts w:eastAsia="Times New Roman" w:cstheme="minorHAnsi"/>
          <w:bCs/>
          <w:color w:val="000000" w:themeColor="text1"/>
        </w:rPr>
        <w:t xml:space="preserve">for the AT&amp;T/Time Warner merger was the belief </w:t>
      </w:r>
      <w:r>
        <w:rPr>
          <w:rFonts w:eastAsia="Times New Roman" w:cstheme="minorHAnsi"/>
          <w:bCs/>
          <w:color w:val="000000" w:themeColor="text1"/>
        </w:rPr>
        <w:t xml:space="preserve">of </w:t>
      </w:r>
      <w:r w:rsidR="00142354">
        <w:rPr>
          <w:rFonts w:eastAsia="Times New Roman" w:cstheme="minorHAnsi"/>
          <w:bCs/>
          <w:color w:val="000000" w:themeColor="text1"/>
        </w:rPr>
        <w:t xml:space="preserve">the companies that the future rested in </w:t>
      </w:r>
      <w:r>
        <w:rPr>
          <w:rFonts w:eastAsia="Times New Roman" w:cstheme="minorHAnsi"/>
          <w:bCs/>
          <w:color w:val="000000" w:themeColor="text1"/>
        </w:rPr>
        <w:t xml:space="preserve">delivering content in </w:t>
      </w:r>
      <w:r w:rsidR="00142354">
        <w:rPr>
          <w:rFonts w:eastAsia="Times New Roman" w:cstheme="minorHAnsi"/>
          <w:bCs/>
          <w:color w:val="000000" w:themeColor="text1"/>
        </w:rPr>
        <w:t xml:space="preserve">the </w:t>
      </w:r>
      <w:r w:rsidR="00F71E28">
        <w:rPr>
          <w:rFonts w:eastAsia="Times New Roman" w:cstheme="minorHAnsi"/>
          <w:bCs/>
          <w:color w:val="000000" w:themeColor="text1"/>
        </w:rPr>
        <w:t>broadband</w:t>
      </w:r>
      <w:r w:rsidR="00410FE0">
        <w:rPr>
          <w:rFonts w:eastAsia="Times New Roman" w:cstheme="minorHAnsi"/>
          <w:bCs/>
          <w:color w:val="000000" w:themeColor="text1"/>
        </w:rPr>
        <w:t xml:space="preserve"> space,</w:t>
      </w:r>
      <w:r w:rsidR="00F71E28">
        <w:rPr>
          <w:rFonts w:eastAsia="Times New Roman" w:cstheme="minorHAnsi"/>
          <w:bCs/>
          <w:color w:val="000000" w:themeColor="text1"/>
        </w:rPr>
        <w:t xml:space="preserve"> </w:t>
      </w:r>
      <w:r w:rsidR="00142354">
        <w:rPr>
          <w:rFonts w:eastAsia="Times New Roman" w:cstheme="minorHAnsi"/>
          <w:bCs/>
          <w:color w:val="000000" w:themeColor="text1"/>
        </w:rPr>
        <w:t xml:space="preserve">and </w:t>
      </w:r>
      <w:r w:rsidR="00410FE0">
        <w:rPr>
          <w:rFonts w:eastAsia="Times New Roman" w:cstheme="minorHAnsi"/>
          <w:bCs/>
          <w:color w:val="000000" w:themeColor="text1"/>
        </w:rPr>
        <w:t xml:space="preserve">particularly </w:t>
      </w:r>
      <w:r>
        <w:rPr>
          <w:rFonts w:eastAsia="Times New Roman" w:cstheme="minorHAnsi"/>
          <w:bCs/>
          <w:color w:val="000000" w:themeColor="text1"/>
        </w:rPr>
        <w:t>to mobile devices</w:t>
      </w:r>
      <w:r w:rsidR="00142354">
        <w:rPr>
          <w:rFonts w:eastAsia="Times New Roman" w:cstheme="minorHAnsi"/>
          <w:bCs/>
          <w:color w:val="000000" w:themeColor="text1"/>
        </w:rPr>
        <w:t xml:space="preserve">.  </w:t>
      </w:r>
    </w:p>
    <w:p w:rsidR="00B96C0B" w:rsidP="00071423">
      <w:pPr>
        <w:shd w:val="clear" w:color="auto" w:fill="FFFFFF"/>
        <w:rPr>
          <w:rFonts w:eastAsia="Times New Roman" w:cstheme="minorHAnsi"/>
          <w:bCs/>
          <w:color w:val="000000" w:themeColor="text1"/>
        </w:rPr>
      </w:pPr>
    </w:p>
    <w:p w:rsidR="005753B5" w:rsidP="00071423">
      <w:pPr>
        <w:shd w:val="clear" w:color="auto" w:fill="FFFFFF"/>
      </w:pPr>
      <w:r>
        <w:rPr>
          <w:rFonts w:eastAsia="Times New Roman" w:cstheme="minorHAnsi"/>
          <w:bCs/>
          <w:color w:val="000000" w:themeColor="text1"/>
        </w:rPr>
        <w:t xml:space="preserve">Ironically, this very reasoning </w:t>
      </w:r>
      <w:r w:rsidR="00A56BD9">
        <w:rPr>
          <w:rFonts w:eastAsia="Times New Roman" w:cstheme="minorHAnsi"/>
          <w:bCs/>
          <w:color w:val="000000" w:themeColor="text1"/>
        </w:rPr>
        <w:t>belie</w:t>
      </w:r>
      <w:r w:rsidR="00904B90">
        <w:rPr>
          <w:rFonts w:eastAsia="Times New Roman" w:cstheme="minorHAnsi"/>
          <w:bCs/>
          <w:color w:val="000000" w:themeColor="text1"/>
        </w:rPr>
        <w:t>s</w:t>
      </w:r>
      <w:r>
        <w:rPr>
          <w:rFonts w:eastAsia="Times New Roman" w:cstheme="minorHAnsi"/>
          <w:bCs/>
          <w:color w:val="000000" w:themeColor="text1"/>
        </w:rPr>
        <w:t xml:space="preserve"> </w:t>
      </w:r>
      <w:r w:rsidR="00A56BD9">
        <w:rPr>
          <w:rFonts w:eastAsia="Times New Roman" w:cstheme="minorHAnsi"/>
          <w:bCs/>
          <w:color w:val="000000" w:themeColor="text1"/>
        </w:rPr>
        <w:t xml:space="preserve">the </w:t>
      </w:r>
      <w:r w:rsidR="00A56BD9">
        <w:t>similarly</w:t>
      </w:r>
      <w:r w:rsidRPr="000418D1" w:rsidR="00A56BD9">
        <w:t xml:space="preserve"> narrow mindset</w:t>
      </w:r>
      <w:r w:rsidR="00A56BD9">
        <w:rPr>
          <w:rFonts w:eastAsia="Times New Roman" w:cstheme="minorHAnsi"/>
          <w:bCs/>
          <w:color w:val="000000" w:themeColor="text1"/>
        </w:rPr>
        <w:t xml:space="preserve"> used when analyzing the current </w:t>
      </w:r>
      <w:r w:rsidRPr="000418D1" w:rsidR="000418D1">
        <w:t xml:space="preserve">broadband marketplace.  Regulators and some in the media have been fixated on fiber broadband, above consideration of any other technology.  This myopic view ignores many other consumer broadband access methods and unfairly taints the overall market analysis for related administrative decisions.  Consider the Comcast-Time Warner Cable merger application from </w:t>
      </w:r>
      <w:r w:rsidR="00413740">
        <w:t>2014/</w:t>
      </w:r>
      <w:r w:rsidRPr="000418D1" w:rsidR="000418D1">
        <w:t>2015 when many of us were told of FCC and DOJ consternation over the possible combination of wireline broadband assets, subsequently leading to the withdrawal of the application.  But what about fixed wireless, mobile</w:t>
      </w:r>
      <w:r w:rsidR="001346AA">
        <w:t>,</w:t>
      </w:r>
      <w:r w:rsidRPr="000418D1" w:rsidR="000418D1">
        <w:t xml:space="preserve"> or satellite broadband as consumer substitutes? </w:t>
      </w:r>
      <w:r>
        <w:t xml:space="preserve"> </w:t>
      </w:r>
    </w:p>
    <w:p w:rsidR="005753B5" w:rsidP="000418D1"/>
    <w:p w:rsidR="000418D1" w:rsidRPr="000418D1" w:rsidP="000418D1">
      <w:r w:rsidRPr="000418D1">
        <w:t>More recently, we have seen comments, including those by my fellow Commissioners, that the FCC’s 2018 Broadband Deployment Report indicated that 24 million Americans do</w:t>
      </w:r>
      <w:r w:rsidR="00FD7C64">
        <w:t xml:space="preserve"> </w:t>
      </w:r>
      <w:r w:rsidRPr="000418D1">
        <w:t>n</w:t>
      </w:r>
      <w:r w:rsidR="00FD7C64">
        <w:t>o</w:t>
      </w:r>
      <w:r w:rsidRPr="000418D1">
        <w:t xml:space="preserve">t have “broadband.”  However, this number represents those Americans without </w:t>
      </w:r>
      <w:r w:rsidRPr="000418D1">
        <w:rPr>
          <w:i/>
        </w:rPr>
        <w:t>wired</w:t>
      </w:r>
      <w:r w:rsidRPr="000418D1">
        <w:t xml:space="preserve"> broadband.  The real unserved population is 14 million, as 10 million households have satellite broadband of sufficient speed and functionality to meet our measurements.  So why doesn’t satellite broadband count in the minds of some, including certain regulators?  </w:t>
      </w:r>
    </w:p>
    <w:p w:rsidR="000418D1" w:rsidRPr="000418D1" w:rsidP="000418D1"/>
    <w:p w:rsidR="005753B5" w:rsidP="000418D1">
      <w:r w:rsidRPr="000418D1">
        <w:t>Equally troubling, the Commission, and perhaps DOJ</w:t>
      </w:r>
      <w:r w:rsidR="001346AA">
        <w:t>,</w:t>
      </w:r>
      <w:r w:rsidRPr="000418D1">
        <w:t xml:space="preserve"> has been unable or unwilling to recognize mobile broadband as a sufficient substitute to fixed offerings.  Look no further than the Commission’s Deployment Report, which extols the virtues and growth</w:t>
      </w:r>
      <w:r w:rsidR="001346AA">
        <w:t xml:space="preserve"> of</w:t>
      </w:r>
      <w:r w:rsidRPr="000418D1">
        <w:t xml:space="preserve"> mobile broadband but then dismisses it as a full substitute, arguing there are “salient differences between the two technologies.”  But</w:t>
      </w:r>
      <w:r w:rsidR="001346AA">
        <w:t>,</w:t>
      </w:r>
      <w:r w:rsidRPr="000418D1">
        <w:t xml:space="preserve"> if you spend one minute with actual consumers you will see the importance and in many cases preeminence of mobile broadband.  </w:t>
      </w:r>
    </w:p>
    <w:p w:rsidR="005753B5" w:rsidP="000418D1"/>
    <w:p w:rsidR="000418D1" w:rsidRPr="000418D1" w:rsidP="000418D1">
      <w:r w:rsidRPr="000418D1">
        <w:t xml:space="preserve">Although it is not lost on me that cost can be a factor for some, many consumers use mobile broadband, especially with existing unlimited pricing plans, as a replacement for wired broadband.  A recent market report by Kleiner Perkins highlights this point well, showing that U.S. mobile usage per adult has been growing every year since 2009 and now accounts for 56 percent of daily hours spent online.  Not surprisingly, desktop/laptop usage has flatlined or shrunk every year since 2011.  Similarly, a summary of </w:t>
      </w:r>
      <w:r w:rsidRPr="000418D1">
        <w:t xml:space="preserve">the National Telecommunications and Information Administration’s recent survey on Internet use states, “Data from 2017 show that more households (88.9 million) had mobile data plans than wired broadband service (85.3 million), a reflection of changing patterns in Internet use.”  As I have stated previously, this trend will only increase as consumers have </w:t>
      </w:r>
      <w:r w:rsidR="009D202B">
        <w:t>more</w:t>
      </w:r>
      <w:r w:rsidRPr="000418D1" w:rsidR="009D202B">
        <w:t xml:space="preserve"> </w:t>
      </w:r>
      <w:r w:rsidRPr="000418D1">
        <w:t xml:space="preserve">experience with the benefits that mobile broadband brings and accept any potential drawbacks, in terms of price, data caps, screen size etc.  </w:t>
      </w:r>
      <w:r w:rsidR="009D202B">
        <w:t>And, we also must acknowledge that next-generation, or 5G, networks</w:t>
      </w:r>
      <w:r w:rsidR="00A8786D">
        <w:t>,</w:t>
      </w:r>
      <w:r w:rsidR="009D202B">
        <w:t xml:space="preserve"> promising increased speeds and capacity</w:t>
      </w:r>
      <w:r w:rsidR="00A8786D">
        <w:t>,</w:t>
      </w:r>
      <w:r w:rsidR="009D202B">
        <w:t xml:space="preserve"> are on the horizon.</w:t>
      </w:r>
    </w:p>
    <w:p w:rsidR="00B70397" w:rsidP="00E835E1">
      <w:pPr>
        <w:shd w:val="clear" w:color="auto" w:fill="FFFFFF"/>
        <w:rPr>
          <w:rFonts w:eastAsia="Times New Roman" w:cstheme="minorHAnsi"/>
          <w:bCs/>
          <w:color w:val="000000" w:themeColor="text1"/>
        </w:rPr>
      </w:pPr>
    </w:p>
    <w:p w:rsidR="00E835E1" w:rsidP="00E835E1">
      <w:pPr>
        <w:shd w:val="clear" w:color="auto" w:fill="FFFFFF"/>
        <w:rPr>
          <w:rFonts w:eastAsia="Times New Roman" w:cstheme="minorHAnsi"/>
          <w:bCs/>
          <w:color w:val="000000" w:themeColor="text1"/>
        </w:rPr>
      </w:pPr>
      <w:r>
        <w:rPr>
          <w:rFonts w:eastAsia="Times New Roman" w:cstheme="minorHAnsi"/>
          <w:bCs/>
          <w:color w:val="000000" w:themeColor="text1"/>
        </w:rPr>
        <w:t xml:space="preserve">Thankfully, </w:t>
      </w:r>
      <w:r w:rsidR="00B8606B">
        <w:rPr>
          <w:rFonts w:eastAsia="Times New Roman" w:cstheme="minorHAnsi"/>
          <w:bCs/>
          <w:color w:val="000000" w:themeColor="text1"/>
        </w:rPr>
        <w:t xml:space="preserve">Congress recognized the importance of </w:t>
      </w:r>
      <w:r w:rsidR="005753B5">
        <w:rPr>
          <w:rFonts w:eastAsia="Times New Roman" w:cstheme="minorHAnsi"/>
          <w:bCs/>
          <w:color w:val="000000" w:themeColor="text1"/>
        </w:rPr>
        <w:t>keeping the Commission and its regulations focused on market realities</w:t>
      </w:r>
      <w:r w:rsidR="00B8606B">
        <w:rPr>
          <w:rFonts w:eastAsia="Times New Roman" w:cstheme="minorHAnsi"/>
          <w:bCs/>
          <w:color w:val="000000" w:themeColor="text1"/>
        </w:rPr>
        <w:t xml:space="preserve"> and provided </w:t>
      </w:r>
      <w:r w:rsidR="005753B5">
        <w:rPr>
          <w:rFonts w:eastAsia="Times New Roman" w:cstheme="minorHAnsi"/>
          <w:bCs/>
          <w:color w:val="000000" w:themeColor="text1"/>
        </w:rPr>
        <w:t>relevant statutory provisions</w:t>
      </w:r>
      <w:r w:rsidR="00B8606B">
        <w:rPr>
          <w:rFonts w:eastAsia="Times New Roman" w:cstheme="minorHAnsi"/>
          <w:bCs/>
          <w:color w:val="000000" w:themeColor="text1"/>
        </w:rPr>
        <w:t xml:space="preserve"> </w:t>
      </w:r>
      <w:r w:rsidR="005753B5">
        <w:rPr>
          <w:rFonts w:eastAsia="Times New Roman" w:cstheme="minorHAnsi"/>
          <w:bCs/>
          <w:color w:val="000000" w:themeColor="text1"/>
        </w:rPr>
        <w:t>to address these situations and others.  Specifically, the</w:t>
      </w:r>
      <w:r w:rsidR="00B8606B">
        <w:rPr>
          <w:rFonts w:eastAsia="Times New Roman" w:cstheme="minorHAnsi"/>
          <w:bCs/>
          <w:color w:val="000000" w:themeColor="text1"/>
        </w:rPr>
        <w:t xml:space="preserve"> 1996 </w:t>
      </w:r>
      <w:r w:rsidR="005753B5">
        <w:rPr>
          <w:rFonts w:eastAsia="Times New Roman" w:cstheme="minorHAnsi"/>
          <w:bCs/>
          <w:color w:val="000000" w:themeColor="text1"/>
        </w:rPr>
        <w:t>Telecom Act</w:t>
      </w:r>
      <w:r w:rsidR="00B8606B">
        <w:rPr>
          <w:rFonts w:eastAsia="Times New Roman" w:cstheme="minorHAnsi"/>
          <w:bCs/>
          <w:color w:val="000000" w:themeColor="text1"/>
        </w:rPr>
        <w:t xml:space="preserve"> mandate</w:t>
      </w:r>
      <w:r w:rsidR="005753B5">
        <w:rPr>
          <w:rFonts w:eastAsia="Times New Roman" w:cstheme="minorHAnsi"/>
          <w:bCs/>
          <w:color w:val="000000" w:themeColor="text1"/>
        </w:rPr>
        <w:t>s</w:t>
      </w:r>
      <w:r w:rsidR="00B8606B">
        <w:rPr>
          <w:rFonts w:eastAsia="Times New Roman" w:cstheme="minorHAnsi"/>
          <w:bCs/>
          <w:color w:val="000000" w:themeColor="text1"/>
        </w:rPr>
        <w:t xml:space="preserve"> that the Commission review, every four years, its media ownership rules to determine whether the rules are “necessary in the public interest as the result of competition.”  </w:t>
      </w:r>
      <w:r w:rsidR="005753B5">
        <w:rPr>
          <w:rFonts w:eastAsia="Times New Roman" w:cstheme="minorHAnsi"/>
          <w:bCs/>
          <w:color w:val="000000" w:themeColor="text1"/>
        </w:rPr>
        <w:t xml:space="preserve">At the same time, </w:t>
      </w:r>
      <w:r w:rsidR="00FE7019">
        <w:rPr>
          <w:rFonts w:eastAsia="Times New Roman" w:cstheme="minorHAnsi"/>
          <w:bCs/>
          <w:color w:val="000000" w:themeColor="text1"/>
        </w:rPr>
        <w:t xml:space="preserve">current law </w:t>
      </w:r>
      <w:r w:rsidR="005753B5">
        <w:rPr>
          <w:rFonts w:eastAsia="Times New Roman" w:cstheme="minorHAnsi"/>
          <w:bCs/>
          <w:color w:val="000000" w:themeColor="text1"/>
        </w:rPr>
        <w:t xml:space="preserve">requires the Commission to conclude a </w:t>
      </w:r>
      <w:r w:rsidR="00FE7019">
        <w:rPr>
          <w:rFonts w:eastAsia="Times New Roman" w:cstheme="minorHAnsi"/>
          <w:bCs/>
          <w:color w:val="000000" w:themeColor="text1"/>
        </w:rPr>
        <w:t>b</w:t>
      </w:r>
      <w:r w:rsidR="005753B5">
        <w:rPr>
          <w:rFonts w:eastAsia="Times New Roman" w:cstheme="minorHAnsi"/>
          <w:bCs/>
          <w:color w:val="000000" w:themeColor="text1"/>
        </w:rPr>
        <w:t xml:space="preserve">iennial </w:t>
      </w:r>
      <w:r w:rsidR="00FE7019">
        <w:rPr>
          <w:rFonts w:eastAsia="Times New Roman" w:cstheme="minorHAnsi"/>
          <w:bCs/>
          <w:color w:val="000000" w:themeColor="text1"/>
        </w:rPr>
        <w:t>r</w:t>
      </w:r>
      <w:r w:rsidR="005753B5">
        <w:rPr>
          <w:rFonts w:eastAsia="Times New Roman" w:cstheme="minorHAnsi"/>
          <w:bCs/>
          <w:color w:val="000000" w:themeColor="text1"/>
        </w:rPr>
        <w:t xml:space="preserve">eview of regulations imposed on telecommunications providers </w:t>
      </w:r>
      <w:r w:rsidR="00FE7019">
        <w:rPr>
          <w:rFonts w:eastAsia="Times New Roman" w:cstheme="minorHAnsi"/>
          <w:bCs/>
          <w:color w:val="000000" w:themeColor="text1"/>
        </w:rPr>
        <w:t>and</w:t>
      </w:r>
      <w:r w:rsidR="005753B5">
        <w:rPr>
          <w:rFonts w:eastAsia="Times New Roman" w:cstheme="minorHAnsi"/>
          <w:bCs/>
          <w:color w:val="000000" w:themeColor="text1"/>
        </w:rPr>
        <w:t xml:space="preserve"> remove those that </w:t>
      </w:r>
      <w:r w:rsidR="001346AA">
        <w:rPr>
          <w:rFonts w:eastAsia="Times New Roman" w:cstheme="minorHAnsi"/>
          <w:bCs/>
          <w:color w:val="000000" w:themeColor="text1"/>
        </w:rPr>
        <w:t xml:space="preserve">are </w:t>
      </w:r>
      <w:r w:rsidR="005753B5">
        <w:rPr>
          <w:rFonts w:eastAsia="Times New Roman" w:cstheme="minorHAnsi"/>
          <w:bCs/>
          <w:color w:val="000000" w:themeColor="text1"/>
        </w:rPr>
        <w:t>no longer in the public interest because of meaningful competition between service provider</w:t>
      </w:r>
      <w:r w:rsidR="001346AA">
        <w:rPr>
          <w:rFonts w:eastAsia="Times New Roman" w:cstheme="minorHAnsi"/>
          <w:bCs/>
          <w:color w:val="000000" w:themeColor="text1"/>
        </w:rPr>
        <w:t>s</w:t>
      </w:r>
      <w:r w:rsidR="005753B5">
        <w:rPr>
          <w:rFonts w:eastAsia="Times New Roman" w:cstheme="minorHAnsi"/>
          <w:bCs/>
          <w:color w:val="000000" w:themeColor="text1"/>
        </w:rPr>
        <w:t>.</w:t>
      </w:r>
      <w:r w:rsidR="00B53063">
        <w:rPr>
          <w:rFonts w:eastAsia="Times New Roman" w:cstheme="minorHAnsi"/>
          <w:bCs/>
          <w:color w:val="000000" w:themeColor="text1"/>
        </w:rPr>
        <w:t xml:space="preserve">  And</w:t>
      </w:r>
      <w:r w:rsidR="009D202B">
        <w:rPr>
          <w:rFonts w:eastAsia="Times New Roman" w:cstheme="minorHAnsi"/>
          <w:bCs/>
          <w:color w:val="000000" w:themeColor="text1"/>
        </w:rPr>
        <w:t>,</w:t>
      </w:r>
      <w:r w:rsidR="00B53063">
        <w:rPr>
          <w:rFonts w:eastAsia="Times New Roman" w:cstheme="minorHAnsi"/>
          <w:bCs/>
          <w:color w:val="000000" w:themeColor="text1"/>
        </w:rPr>
        <w:t xml:space="preserve"> the Commission has another </w:t>
      </w:r>
      <w:r w:rsidR="009D202B">
        <w:rPr>
          <w:rFonts w:eastAsia="Times New Roman" w:cstheme="minorHAnsi"/>
          <w:bCs/>
          <w:color w:val="000000" w:themeColor="text1"/>
        </w:rPr>
        <w:t xml:space="preserve">statutorily </w:t>
      </w:r>
      <w:r w:rsidR="00050857">
        <w:rPr>
          <w:rFonts w:eastAsia="Times New Roman" w:cstheme="minorHAnsi"/>
          <w:bCs/>
          <w:color w:val="000000" w:themeColor="text1"/>
        </w:rPr>
        <w:t xml:space="preserve">required </w:t>
      </w:r>
      <w:r w:rsidR="00B53063">
        <w:rPr>
          <w:rFonts w:eastAsia="Times New Roman" w:cstheme="minorHAnsi"/>
          <w:bCs/>
          <w:color w:val="000000" w:themeColor="text1"/>
        </w:rPr>
        <w:t xml:space="preserve">Broadband Deployment Report </w:t>
      </w:r>
      <w:r w:rsidR="00050857">
        <w:rPr>
          <w:rFonts w:eastAsia="Times New Roman" w:cstheme="minorHAnsi"/>
          <w:bCs/>
          <w:color w:val="000000" w:themeColor="text1"/>
        </w:rPr>
        <w:t>to reassess our past approaches</w:t>
      </w:r>
      <w:r w:rsidR="00FB4759">
        <w:rPr>
          <w:rFonts w:eastAsia="Times New Roman" w:cstheme="minorHAnsi"/>
          <w:bCs/>
          <w:color w:val="000000" w:themeColor="text1"/>
        </w:rPr>
        <w:t xml:space="preserve"> and considerations of broadband substitutes</w:t>
      </w:r>
      <w:r w:rsidR="00B53063">
        <w:rPr>
          <w:rFonts w:eastAsia="Times New Roman" w:cstheme="minorHAnsi"/>
          <w:bCs/>
          <w:color w:val="000000" w:themeColor="text1"/>
        </w:rPr>
        <w:t xml:space="preserve">.  </w:t>
      </w:r>
      <w:r w:rsidR="005753B5">
        <w:rPr>
          <w:rFonts w:eastAsia="Times New Roman" w:cstheme="minorHAnsi"/>
          <w:bCs/>
          <w:color w:val="000000" w:themeColor="text1"/>
        </w:rPr>
        <w:t xml:space="preserve">    </w:t>
      </w:r>
    </w:p>
    <w:p w:rsidR="00B8606B" w:rsidP="00E835E1">
      <w:pPr>
        <w:shd w:val="clear" w:color="auto" w:fill="FFFFFF"/>
        <w:rPr>
          <w:rFonts w:eastAsia="Times New Roman" w:cstheme="minorHAnsi"/>
          <w:bCs/>
          <w:color w:val="000000" w:themeColor="text1"/>
        </w:rPr>
      </w:pPr>
    </w:p>
    <w:p w:rsidR="0063763A" w:rsidRPr="007839A9" w:rsidP="007839A9">
      <w:pPr>
        <w:shd w:val="clear" w:color="auto" w:fill="FFFFFF"/>
        <w:rPr>
          <w:rFonts w:eastAsia="Times New Roman" w:cstheme="minorHAnsi"/>
          <w:bCs/>
          <w:color w:val="000000" w:themeColor="text1"/>
        </w:rPr>
      </w:pPr>
      <w:r>
        <w:rPr>
          <w:rFonts w:eastAsia="Times New Roman" w:cstheme="minorHAnsi"/>
          <w:bCs/>
          <w:color w:val="000000" w:themeColor="text1"/>
        </w:rPr>
        <w:t xml:space="preserve">On that note, </w:t>
      </w:r>
      <w:r w:rsidR="00B8606B">
        <w:rPr>
          <w:rFonts w:eastAsia="Times New Roman" w:cstheme="minorHAnsi"/>
          <w:bCs/>
          <w:color w:val="000000" w:themeColor="text1"/>
        </w:rPr>
        <w:t xml:space="preserve">the Commission </w:t>
      </w:r>
      <w:r>
        <w:rPr>
          <w:rFonts w:eastAsia="Times New Roman" w:cstheme="minorHAnsi"/>
          <w:bCs/>
          <w:color w:val="000000" w:themeColor="text1"/>
        </w:rPr>
        <w:t xml:space="preserve">will </w:t>
      </w:r>
      <w:r w:rsidR="00B8606B">
        <w:rPr>
          <w:rFonts w:eastAsia="Times New Roman" w:cstheme="minorHAnsi"/>
          <w:bCs/>
          <w:color w:val="000000" w:themeColor="text1"/>
        </w:rPr>
        <w:t>launch its 2018 Quadrennial Review of our Media Ownership rules</w:t>
      </w:r>
      <w:r>
        <w:rPr>
          <w:rFonts w:eastAsia="Times New Roman" w:cstheme="minorHAnsi"/>
          <w:bCs/>
          <w:color w:val="000000" w:themeColor="text1"/>
        </w:rPr>
        <w:t xml:space="preserve"> later this year</w:t>
      </w:r>
      <w:r w:rsidR="00B8606B">
        <w:rPr>
          <w:rFonts w:eastAsia="Times New Roman" w:cstheme="minorHAnsi"/>
          <w:bCs/>
          <w:color w:val="000000" w:themeColor="text1"/>
        </w:rPr>
        <w:t xml:space="preserve">.  In this review, I will seek an updated market definition that </w:t>
      </w:r>
      <w:r w:rsidR="009D202B">
        <w:rPr>
          <w:rFonts w:eastAsia="Times New Roman" w:cstheme="minorHAnsi"/>
          <w:bCs/>
          <w:color w:val="000000" w:themeColor="text1"/>
        </w:rPr>
        <w:t xml:space="preserve">incorporates </w:t>
      </w:r>
      <w:r w:rsidR="00B8606B">
        <w:rPr>
          <w:rFonts w:eastAsia="Times New Roman" w:cstheme="minorHAnsi"/>
          <w:bCs/>
          <w:color w:val="000000" w:themeColor="text1"/>
        </w:rPr>
        <w:t xml:space="preserve">many of the findings in Judge Leon’s decision.  </w:t>
      </w:r>
      <w:r w:rsidR="007839A9">
        <w:rPr>
          <w:rFonts w:eastAsia="Times New Roman" w:cstheme="minorHAnsi"/>
          <w:bCs/>
          <w:color w:val="000000" w:themeColor="text1"/>
        </w:rPr>
        <w:t>For my part, and to quote Judge Leon yet again, “I simply cannot evaluate”</w:t>
      </w:r>
      <w:r w:rsidRPr="007839A9" w:rsidR="007839A9">
        <w:rPr>
          <w:rFonts w:eastAsia="Times New Roman" w:cstheme="minorHAnsi"/>
          <w:bCs/>
          <w:color w:val="000000" w:themeColor="text1"/>
        </w:rPr>
        <w:t xml:space="preserve"> </w:t>
      </w:r>
      <w:r w:rsidR="007839A9">
        <w:rPr>
          <w:rFonts w:eastAsia="Times New Roman" w:cstheme="minorHAnsi"/>
          <w:bCs/>
          <w:color w:val="000000" w:themeColor="text1"/>
        </w:rPr>
        <w:t xml:space="preserve">our media ownership rules “without factoring in the dramatic changes that are transforming how consumers view video content.” </w:t>
      </w:r>
    </w:p>
    <w:p w:rsidR="00C22BAD" w:rsidP="00052FDB">
      <w:r>
        <w:t xml:space="preserve"> </w:t>
      </w:r>
    </w:p>
    <w:p w:rsidR="00D347FC" w:rsidP="00422F61">
      <w:pPr>
        <w:jc w:val="center"/>
      </w:pPr>
      <w:r>
        <w:t>*</w:t>
      </w:r>
      <w:r>
        <w:tab/>
        <w:t>*</w:t>
      </w:r>
      <w:r>
        <w:tab/>
        <w:t>*</w:t>
      </w:r>
    </w:p>
    <w:p w:rsidR="00976ECA"/>
    <w:p w:rsidR="002F1F8C">
      <w:r>
        <w:t>I</w:t>
      </w:r>
      <w:r w:rsidR="00946503">
        <w:t xml:space="preserve"> thank you for your attention and I’d be happy answer any question</w:t>
      </w:r>
      <w:r w:rsidR="00FE7019">
        <w:t>s</w:t>
      </w:r>
      <w:r w:rsidR="00946503">
        <w:t xml:space="preserve"> you may have</w:t>
      </w:r>
      <w:r w:rsidR="00FE7019">
        <w:t xml:space="preserve"> </w:t>
      </w:r>
      <w:r w:rsidR="00961CB2">
        <w:t>at the end of</w:t>
      </w:r>
      <w:r w:rsidR="00FE7019">
        <w:t xml:space="preserve"> my colleagues’ comments and our upcoming panel</w:t>
      </w:r>
      <w:r w:rsidR="00946503">
        <w:t xml:space="preserve">. </w:t>
      </w:r>
    </w:p>
    <w:p w:rsidR="00A2063A"/>
    <w:p w:rsidR="00A2063A"/>
    <w:p w:rsidR="00A2063A"/>
    <w:sectPr w:rsidSect="009E2BA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CF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56505F"/>
    <w:multiLevelType w:val="hybridMultilevel"/>
    <w:tmpl w:val="1118121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DBA1374"/>
    <w:multiLevelType w:val="multilevel"/>
    <w:tmpl w:val="E16C8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E1"/>
    <w:pPr>
      <w:tabs>
        <w:tab w:val="center" w:pos="4680"/>
        <w:tab w:val="right" w:pos="9360"/>
      </w:tabs>
    </w:pPr>
  </w:style>
  <w:style w:type="character" w:customStyle="1" w:styleId="HeaderChar">
    <w:name w:val="Header Char"/>
    <w:basedOn w:val="DefaultParagraphFont"/>
    <w:link w:val="Header"/>
    <w:uiPriority w:val="99"/>
    <w:rsid w:val="009764E1"/>
  </w:style>
  <w:style w:type="paragraph" w:styleId="Footer">
    <w:name w:val="footer"/>
    <w:basedOn w:val="Normal"/>
    <w:link w:val="FooterChar"/>
    <w:uiPriority w:val="99"/>
    <w:unhideWhenUsed/>
    <w:rsid w:val="009764E1"/>
    <w:pPr>
      <w:tabs>
        <w:tab w:val="center" w:pos="4680"/>
        <w:tab w:val="right" w:pos="9360"/>
      </w:tabs>
    </w:pPr>
  </w:style>
  <w:style w:type="character" w:customStyle="1" w:styleId="FooterChar">
    <w:name w:val="Footer Char"/>
    <w:basedOn w:val="DefaultParagraphFont"/>
    <w:link w:val="Footer"/>
    <w:uiPriority w:val="99"/>
    <w:rsid w:val="009764E1"/>
  </w:style>
  <w:style w:type="paragraph" w:styleId="ListParagraph">
    <w:name w:val="List Paragraph"/>
    <w:basedOn w:val="Normal"/>
    <w:uiPriority w:val="34"/>
    <w:qFormat/>
    <w:rsid w:val="00D347FC"/>
    <w:pPr>
      <w:ind w:left="720"/>
      <w:contextualSpacing/>
    </w:pPr>
  </w:style>
  <w:style w:type="character" w:styleId="CommentReference">
    <w:name w:val="annotation reference"/>
    <w:basedOn w:val="DefaultParagraphFont"/>
    <w:uiPriority w:val="99"/>
    <w:semiHidden/>
    <w:unhideWhenUsed/>
    <w:rsid w:val="006A0A73"/>
    <w:rPr>
      <w:sz w:val="16"/>
      <w:szCs w:val="16"/>
    </w:rPr>
  </w:style>
  <w:style w:type="paragraph" w:styleId="CommentText">
    <w:name w:val="annotation text"/>
    <w:basedOn w:val="Normal"/>
    <w:link w:val="CommentTextChar"/>
    <w:uiPriority w:val="99"/>
    <w:semiHidden/>
    <w:unhideWhenUsed/>
    <w:rsid w:val="006A0A73"/>
    <w:rPr>
      <w:sz w:val="20"/>
      <w:szCs w:val="20"/>
    </w:rPr>
  </w:style>
  <w:style w:type="character" w:customStyle="1" w:styleId="CommentTextChar">
    <w:name w:val="Comment Text Char"/>
    <w:basedOn w:val="DefaultParagraphFont"/>
    <w:link w:val="CommentText"/>
    <w:uiPriority w:val="99"/>
    <w:semiHidden/>
    <w:rsid w:val="006A0A73"/>
    <w:rPr>
      <w:sz w:val="20"/>
      <w:szCs w:val="20"/>
    </w:rPr>
  </w:style>
  <w:style w:type="paragraph" w:styleId="CommentSubject">
    <w:name w:val="annotation subject"/>
    <w:basedOn w:val="CommentText"/>
    <w:next w:val="CommentText"/>
    <w:link w:val="CommentSubjectChar"/>
    <w:uiPriority w:val="99"/>
    <w:semiHidden/>
    <w:unhideWhenUsed/>
    <w:rsid w:val="006A0A73"/>
    <w:rPr>
      <w:b/>
      <w:bCs/>
    </w:rPr>
  </w:style>
  <w:style w:type="character" w:customStyle="1" w:styleId="CommentSubjectChar">
    <w:name w:val="Comment Subject Char"/>
    <w:basedOn w:val="CommentTextChar"/>
    <w:link w:val="CommentSubject"/>
    <w:uiPriority w:val="99"/>
    <w:semiHidden/>
    <w:rsid w:val="006A0A73"/>
    <w:rPr>
      <w:b/>
      <w:bCs/>
      <w:sz w:val="20"/>
      <w:szCs w:val="20"/>
    </w:rPr>
  </w:style>
  <w:style w:type="paragraph" w:styleId="BalloonText">
    <w:name w:val="Balloon Text"/>
    <w:basedOn w:val="Normal"/>
    <w:link w:val="BalloonTextChar"/>
    <w:uiPriority w:val="99"/>
    <w:semiHidden/>
    <w:unhideWhenUsed/>
    <w:rsid w:val="006A0A73"/>
    <w:rPr>
      <w:rFonts w:ascii="Arial" w:hAnsi="Arial" w:cs="Arial"/>
      <w:sz w:val="18"/>
      <w:szCs w:val="18"/>
    </w:rPr>
  </w:style>
  <w:style w:type="character" w:customStyle="1" w:styleId="BalloonTextChar">
    <w:name w:val="Balloon Text Char"/>
    <w:basedOn w:val="DefaultParagraphFont"/>
    <w:link w:val="BalloonText"/>
    <w:uiPriority w:val="99"/>
    <w:semiHidden/>
    <w:rsid w:val="006A0A73"/>
    <w:rPr>
      <w:rFonts w:ascii="Arial" w:hAnsi="Arial" w:cs="Arial"/>
      <w:sz w:val="18"/>
      <w:szCs w:val="18"/>
    </w:rPr>
  </w:style>
  <w:style w:type="character" w:styleId="PageNumber">
    <w:name w:val="page number"/>
    <w:basedOn w:val="DefaultParagraphFont"/>
    <w:uiPriority w:val="99"/>
    <w:semiHidden/>
    <w:unhideWhenUsed/>
    <w:rsid w:val="00965130"/>
  </w:style>
  <w:style w:type="paragraph" w:styleId="Revision">
    <w:name w:val="Revision"/>
    <w:hidden/>
    <w:uiPriority w:val="99"/>
    <w:semiHidden/>
    <w:rsid w:val="00E523FC"/>
  </w:style>
  <w:style w:type="character" w:styleId="Hyperlink">
    <w:name w:val="Hyperlink"/>
    <w:basedOn w:val="DefaultParagraphFont"/>
    <w:uiPriority w:val="99"/>
    <w:unhideWhenUsed/>
    <w:rsid w:val="0054416E"/>
    <w:rPr>
      <w:color w:val="0563C1" w:themeColor="hyperlink"/>
      <w:u w:val="single"/>
    </w:rPr>
  </w:style>
  <w:style w:type="character" w:customStyle="1" w:styleId="UnresolvedMention">
    <w:name w:val="Unresolved Mention"/>
    <w:basedOn w:val="DefaultParagraphFont"/>
    <w:uiPriority w:val="99"/>
    <w:semiHidden/>
    <w:unhideWhenUsed/>
    <w:rsid w:val="0054416E"/>
    <w:rPr>
      <w:color w:val="808080"/>
      <w:shd w:val="clear" w:color="auto" w:fill="E6E6E6"/>
    </w:rPr>
  </w:style>
  <w:style w:type="character" w:styleId="FollowedHyperlink">
    <w:name w:val="FollowedHyperlink"/>
    <w:basedOn w:val="DefaultParagraphFont"/>
    <w:uiPriority w:val="99"/>
    <w:semiHidden/>
    <w:unhideWhenUsed/>
    <w:rsid w:val="00472D92"/>
    <w:rPr>
      <w:color w:val="954F72" w:themeColor="followedHyperlink"/>
      <w:u w:val="single"/>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basedOn w:val="Normal"/>
    <w:link w:val="FootnoteTextChar"/>
    <w:unhideWhenUsed/>
    <w:rsid w:val="00472D92"/>
    <w:rPr>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472D92"/>
    <w:rPr>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472D92"/>
    <w:rPr>
      <w:vertAlign w:val="superscript"/>
    </w:rPr>
  </w:style>
  <w:style w:type="character" w:customStyle="1" w:styleId="cohidesearchterm">
    <w:name w:val="co_hidesearchterm"/>
    <w:basedOn w:val="DefaultParagraphFont"/>
    <w:rsid w:val="00052FDB"/>
  </w:style>
  <w:style w:type="character" w:styleId="Emphasis">
    <w:name w:val="Emphasis"/>
    <w:basedOn w:val="DefaultParagraphFont"/>
    <w:uiPriority w:val="20"/>
    <w:qFormat/>
    <w:rsid w:val="00052FDB"/>
    <w:rPr>
      <w:i/>
      <w:iCs/>
    </w:rPr>
  </w:style>
  <w:style w:type="paragraph" w:styleId="NormalWeb">
    <w:name w:val="Normal (Web)"/>
    <w:basedOn w:val="Normal"/>
    <w:uiPriority w:val="99"/>
    <w:semiHidden/>
    <w:unhideWhenUsed/>
    <w:rsid w:val="00C87146"/>
    <w:pPr>
      <w:spacing w:before="100" w:beforeAutospacing="1" w:after="100" w:afterAutospacing="1"/>
    </w:pPr>
    <w:rPr>
      <w:rFonts w:ascii="Calibri" w:hAnsi="Calibri"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