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p>
          <w:p w:rsidR="00E34E3F" w:rsidRPr="005D76EF" w:rsidP="00A41840">
            <w:pPr>
              <w:widowControl w:val="0"/>
              <w:autoSpaceDE w:val="0"/>
              <w:autoSpaceDN w:val="0"/>
              <w:adjustRightInd w:val="0"/>
              <w:jc w:val="center"/>
              <w:rPr>
                <w:b/>
                <w:bCs/>
                <w:caps/>
              </w:rPr>
            </w:pPr>
            <w:bookmarkStart w:id="0" w:name="_Hlk517350885"/>
            <w:r w:rsidRPr="00B47F70">
              <w:rPr>
                <w:b/>
                <w:bCs/>
                <w:caps/>
              </w:rPr>
              <w:t xml:space="preserve">FCC </w:t>
            </w:r>
            <w:r w:rsidRPr="00B47F70" w:rsidR="00A41840">
              <w:rPr>
                <w:b/>
                <w:bCs/>
                <w:caps/>
              </w:rPr>
              <w:t xml:space="preserve">ANNOUNCES TENTATIVE </w:t>
            </w:r>
            <w:r w:rsidRPr="005D76EF" w:rsidR="00A41840">
              <w:rPr>
                <w:b/>
                <w:bCs/>
                <w:caps/>
              </w:rPr>
              <w:t>AGENDA FOR JULY OPEN MEETING</w:t>
            </w:r>
          </w:p>
          <w:p w:rsidR="00F61155" w:rsidRPr="005D76EF" w:rsidP="00BB4E29">
            <w:pPr>
              <w:tabs>
                <w:tab w:val="left" w:pos="8625"/>
              </w:tabs>
              <w:jc w:val="center"/>
              <w:rPr>
                <w:i/>
                <w:color w:val="F2F2F2" w:themeColor="background1" w:themeShade="F2"/>
                <w:sz w:val="28"/>
              </w:rPr>
            </w:pPr>
            <w:r w:rsidRPr="005D76EF">
              <w:rPr>
                <w:b/>
                <w:bCs/>
                <w:i/>
                <w:sz w:val="28"/>
                <w:szCs w:val="32"/>
              </w:rPr>
              <w:t xml:space="preserve">  </w:t>
            </w:r>
            <w:r w:rsidRPr="005D76EF">
              <w:rPr>
                <w:b/>
                <w:bCs/>
                <w:i/>
                <w:color w:val="F2F2F2" w:themeColor="background1" w:themeShade="F2"/>
                <w:sz w:val="28"/>
                <w:szCs w:val="32"/>
              </w:rPr>
              <w:t>--</w:t>
            </w:r>
            <w:r w:rsidRPr="005D76EF" w:rsidR="00347716">
              <w:rPr>
                <w:b/>
                <w:bCs/>
                <w:i/>
                <w:color w:val="F2F2F2" w:themeColor="background1" w:themeShade="F2"/>
                <w:sz w:val="28"/>
                <w:szCs w:val="32"/>
              </w:rPr>
              <w:t xml:space="preserve"> </w:t>
            </w:r>
          </w:p>
          <w:p w:rsidR="00A41840" w:rsidRPr="00A41840" w:rsidP="00A41840">
            <w:pPr>
              <w:tabs>
                <w:tab w:val="left" w:pos="8640"/>
              </w:tabs>
              <w:rPr>
                <w:sz w:val="22"/>
                <w:szCs w:val="22"/>
              </w:rPr>
            </w:pPr>
            <w:r w:rsidRPr="005D76EF">
              <w:rPr>
                <w:sz w:val="22"/>
                <w:szCs w:val="22"/>
              </w:rPr>
              <w:t xml:space="preserve">WASHINGTON, </w:t>
            </w:r>
            <w:r w:rsidRPr="005D76EF" w:rsidR="00AD7B37">
              <w:rPr>
                <w:sz w:val="22"/>
                <w:szCs w:val="22"/>
              </w:rPr>
              <w:t>June 21</w:t>
            </w:r>
            <w:r w:rsidRPr="005D76EF" w:rsidR="00D148D6">
              <w:rPr>
                <w:sz w:val="22"/>
                <w:szCs w:val="22"/>
              </w:rPr>
              <w:t>, 201</w:t>
            </w:r>
            <w:r w:rsidRPr="005D76EF" w:rsidR="00323539">
              <w:rPr>
                <w:sz w:val="22"/>
                <w:szCs w:val="22"/>
              </w:rPr>
              <w:t>8</w:t>
            </w:r>
            <w:r w:rsidRPr="005D76EF" w:rsidR="00641CD8">
              <w:rPr>
                <w:sz w:val="22"/>
                <w:szCs w:val="22"/>
              </w:rPr>
              <w:t>—</w:t>
            </w:r>
            <w:r w:rsidRPr="005D76EF">
              <w:rPr>
                <w:sz w:val="22"/>
                <w:szCs w:val="22"/>
              </w:rPr>
              <w:t xml:space="preserve">Federal Communications Commission Chairman </w:t>
            </w:r>
            <w:r w:rsidRPr="005D76EF" w:rsidR="00A27E96">
              <w:rPr>
                <w:sz w:val="22"/>
                <w:szCs w:val="22"/>
              </w:rPr>
              <w:t xml:space="preserve">Ajit Pai </w:t>
            </w:r>
            <w:r w:rsidRPr="005D76EF">
              <w:rPr>
                <w:sz w:val="22"/>
                <w:szCs w:val="22"/>
              </w:rPr>
              <w:t xml:space="preserve">announced that the following items are tentatively on the agenda for the July Open Commission Meeting scheduled for </w:t>
            </w:r>
            <w:r w:rsidRPr="005D76EF" w:rsidR="00D148D6">
              <w:rPr>
                <w:sz w:val="22"/>
                <w:szCs w:val="22"/>
              </w:rPr>
              <w:t>Thursday, July 1</w:t>
            </w:r>
            <w:r w:rsidRPr="005D76EF" w:rsidR="005D76EF">
              <w:rPr>
                <w:sz w:val="22"/>
                <w:szCs w:val="22"/>
              </w:rPr>
              <w:t>2</w:t>
            </w:r>
            <w:r w:rsidRPr="005D76EF" w:rsidR="00D148D6">
              <w:rPr>
                <w:sz w:val="22"/>
                <w:szCs w:val="22"/>
              </w:rPr>
              <w:t>, 201</w:t>
            </w:r>
            <w:r w:rsidRPr="005D76EF" w:rsidR="00323539">
              <w:rPr>
                <w:sz w:val="22"/>
                <w:szCs w:val="22"/>
              </w:rPr>
              <w:t>8</w:t>
            </w:r>
            <w:r w:rsidRPr="005D76EF">
              <w:rPr>
                <w:sz w:val="22"/>
                <w:szCs w:val="22"/>
              </w:rPr>
              <w:t>:</w:t>
            </w:r>
          </w:p>
          <w:p w:rsidR="005D76EF" w:rsidP="00A41840">
            <w:pPr>
              <w:tabs>
                <w:tab w:val="left" w:pos="8640"/>
              </w:tabs>
              <w:rPr>
                <w:sz w:val="22"/>
                <w:szCs w:val="22"/>
              </w:rPr>
            </w:pPr>
          </w:p>
          <w:p w:rsidR="005D76EF" w:rsidP="00A41840">
            <w:pPr>
              <w:tabs>
                <w:tab w:val="left" w:pos="8640"/>
              </w:tabs>
              <w:rPr>
                <w:sz w:val="22"/>
                <w:szCs w:val="22"/>
              </w:rPr>
            </w:pPr>
            <w:r>
              <w:rPr>
                <w:b/>
                <w:sz w:val="22"/>
                <w:szCs w:val="22"/>
              </w:rPr>
              <w:t>Expanding</w:t>
            </w:r>
            <w:bookmarkStart w:id="1" w:name="_GoBack"/>
            <w:bookmarkEnd w:id="1"/>
            <w:r w:rsidRPr="005D76EF">
              <w:rPr>
                <w:b/>
                <w:sz w:val="22"/>
                <w:szCs w:val="22"/>
              </w:rPr>
              <w:t xml:space="preserve"> Flexible Use of the 3.7 to 4.2 GHz Band</w:t>
            </w:r>
            <w:r w:rsidRPr="005D76EF">
              <w:rPr>
                <w:sz w:val="22"/>
                <w:szCs w:val="22"/>
              </w:rPr>
              <w:t xml:space="preserve"> – The Commission will consider a</w:t>
            </w:r>
            <w:r>
              <w:rPr>
                <w:sz w:val="22"/>
                <w:szCs w:val="22"/>
              </w:rPr>
              <w:t>n</w:t>
            </w:r>
            <w:r w:rsidRPr="005D76EF">
              <w:rPr>
                <w:sz w:val="22"/>
                <w:szCs w:val="22"/>
              </w:rPr>
              <w:t xml:space="preserve"> </w:t>
            </w:r>
            <w:r w:rsidRPr="005D76EF" w:rsidR="00F7652B">
              <w:rPr>
                <w:sz w:val="22"/>
                <w:szCs w:val="22"/>
              </w:rPr>
              <w:t xml:space="preserve">Order </w:t>
            </w:r>
            <w:r w:rsidR="00F7652B">
              <w:rPr>
                <w:sz w:val="22"/>
                <w:szCs w:val="22"/>
              </w:rPr>
              <w:t xml:space="preserve">and </w:t>
            </w:r>
            <w:r w:rsidRPr="005D76EF">
              <w:rPr>
                <w:sz w:val="22"/>
                <w:szCs w:val="22"/>
              </w:rPr>
              <w:t>Notice of Proposed Rulemaking that would continue the Commission’s efforts to make mid-band spectrum in the 3.7-4.2 GHz band available for expanded flexible use, primarily by seeking comment on mechanisms for clearing for mobile use and whether to allow point-to-multipoint use on a shared basis in portions of the band.  To inform the Commission’s decision-making on the future of the band, it would also collect information from FSS earth stations and space stations to provide a clear understanding of the operations of current users.  (GN Docket No</w:t>
            </w:r>
            <w:r w:rsidR="00C94A19">
              <w:rPr>
                <w:sz w:val="22"/>
                <w:szCs w:val="22"/>
              </w:rPr>
              <w:t xml:space="preserve">s. 18-122, </w:t>
            </w:r>
            <w:r w:rsidRPr="005D76EF">
              <w:rPr>
                <w:sz w:val="22"/>
                <w:szCs w:val="22"/>
              </w:rPr>
              <w:t>17-183; RM</w:t>
            </w:r>
            <w:r w:rsidR="00C94A19">
              <w:rPr>
                <w:sz w:val="22"/>
                <w:szCs w:val="22"/>
              </w:rPr>
              <w:t xml:space="preserve"> Nos</w:t>
            </w:r>
            <w:r w:rsidR="00003AD3">
              <w:rPr>
                <w:sz w:val="22"/>
                <w:szCs w:val="22"/>
              </w:rPr>
              <w:t>.</w:t>
            </w:r>
            <w:r w:rsidR="00C94A19">
              <w:rPr>
                <w:sz w:val="22"/>
                <w:szCs w:val="22"/>
              </w:rPr>
              <w:t xml:space="preserve"> </w:t>
            </w:r>
            <w:r w:rsidRPr="005D76EF">
              <w:rPr>
                <w:sz w:val="22"/>
                <w:szCs w:val="22"/>
              </w:rPr>
              <w:t>11778</w:t>
            </w:r>
            <w:r w:rsidR="00C94A19">
              <w:rPr>
                <w:sz w:val="22"/>
                <w:szCs w:val="22"/>
              </w:rPr>
              <w:t xml:space="preserve">, </w:t>
            </w:r>
            <w:r w:rsidRPr="005D76EF">
              <w:rPr>
                <w:sz w:val="22"/>
                <w:szCs w:val="22"/>
              </w:rPr>
              <w:t>11791)</w:t>
            </w:r>
          </w:p>
          <w:p w:rsidR="00143A16" w:rsidP="00143A16">
            <w:pPr>
              <w:tabs>
                <w:tab w:val="left" w:pos="8640"/>
              </w:tabs>
              <w:rPr>
                <w:b/>
                <w:bCs/>
                <w:sz w:val="22"/>
                <w:szCs w:val="22"/>
              </w:rPr>
            </w:pPr>
          </w:p>
          <w:p w:rsidR="00143A16" w:rsidP="00143A16">
            <w:pPr>
              <w:tabs>
                <w:tab w:val="left" w:pos="8640"/>
              </w:tabs>
              <w:rPr>
                <w:b/>
                <w:bCs/>
                <w:sz w:val="22"/>
                <w:szCs w:val="22"/>
              </w:rPr>
            </w:pPr>
            <w:r w:rsidRPr="005D76EF">
              <w:rPr>
                <w:b/>
                <w:bCs/>
                <w:sz w:val="22"/>
                <w:szCs w:val="22"/>
              </w:rPr>
              <w:t>Cellular Reform Third Report and Order –</w:t>
            </w:r>
            <w:r w:rsidRPr="005D76EF">
              <w:rPr>
                <w:bCs/>
                <w:sz w:val="22"/>
                <w:szCs w:val="22"/>
              </w:rPr>
              <w:t xml:space="preserve"> The Commission will consider a Report and Order eliminating unnecessary rules that apply to cellular service and other licensees.</w:t>
            </w:r>
            <w:r>
              <w:rPr>
                <w:bCs/>
                <w:sz w:val="22"/>
                <w:szCs w:val="22"/>
              </w:rPr>
              <w:t xml:space="preserve"> </w:t>
            </w:r>
            <w:r w:rsidRPr="005D76EF">
              <w:rPr>
                <w:bCs/>
                <w:sz w:val="22"/>
                <w:szCs w:val="22"/>
              </w:rPr>
              <w:t xml:space="preserve"> (WT Docket Nos. 12-40, 10-112, 16-138; RM No</w:t>
            </w:r>
            <w:r w:rsidR="00C94A19">
              <w:rPr>
                <w:bCs/>
                <w:sz w:val="22"/>
                <w:szCs w:val="22"/>
              </w:rPr>
              <w:t>s</w:t>
            </w:r>
            <w:r w:rsidRPr="005D76EF">
              <w:rPr>
                <w:bCs/>
                <w:sz w:val="22"/>
                <w:szCs w:val="22"/>
              </w:rPr>
              <w:t>. 11510</w:t>
            </w:r>
            <w:r w:rsidR="00C94A19">
              <w:rPr>
                <w:bCs/>
                <w:sz w:val="22"/>
                <w:szCs w:val="22"/>
              </w:rPr>
              <w:t xml:space="preserve">, </w:t>
            </w:r>
            <w:r w:rsidRPr="00C94A19" w:rsidR="00C94A19">
              <w:rPr>
                <w:bCs/>
                <w:sz w:val="22"/>
                <w:szCs w:val="22"/>
              </w:rPr>
              <w:t>11660</w:t>
            </w:r>
            <w:r w:rsidRPr="005D76EF">
              <w:rPr>
                <w:bCs/>
                <w:sz w:val="22"/>
                <w:szCs w:val="22"/>
              </w:rPr>
              <w:t>)</w:t>
            </w:r>
          </w:p>
          <w:p w:rsidR="00C94A19" w:rsidP="00C94A19">
            <w:pPr>
              <w:tabs>
                <w:tab w:val="left" w:pos="8640"/>
              </w:tabs>
              <w:rPr>
                <w:b/>
                <w:sz w:val="22"/>
                <w:szCs w:val="22"/>
              </w:rPr>
            </w:pPr>
          </w:p>
          <w:p w:rsidR="00C94A19" w:rsidP="00C94A19">
            <w:pPr>
              <w:tabs>
                <w:tab w:val="left" w:pos="8640"/>
              </w:tabs>
              <w:rPr>
                <w:sz w:val="22"/>
                <w:szCs w:val="22"/>
              </w:rPr>
            </w:pPr>
            <w:r w:rsidRPr="00545655">
              <w:rPr>
                <w:b/>
                <w:sz w:val="22"/>
                <w:szCs w:val="22"/>
              </w:rPr>
              <w:t>Children’s Television Programming Rules</w:t>
            </w:r>
            <w:r>
              <w:rPr>
                <w:sz w:val="22"/>
                <w:szCs w:val="22"/>
              </w:rPr>
              <w:t xml:space="preserve"> –</w:t>
            </w:r>
            <w:r w:rsidRPr="00545655">
              <w:rPr>
                <w:sz w:val="22"/>
                <w:szCs w:val="22"/>
              </w:rPr>
              <w:t xml:space="preserve"> The Commission will consider a Notice of Proposed Rulemaking seeking comment on proposed revisions to the children’s television programming rules to </w:t>
            </w:r>
            <w:r w:rsidR="00FC27F2">
              <w:rPr>
                <w:sz w:val="22"/>
                <w:szCs w:val="22"/>
              </w:rPr>
              <w:t>provide</w:t>
            </w:r>
            <w:r w:rsidRPr="00545655">
              <w:rPr>
                <w:sz w:val="22"/>
                <w:szCs w:val="22"/>
              </w:rPr>
              <w:t xml:space="preserve"> broadcasters greater flexibility in meeting their children’s programming obligations.</w:t>
            </w:r>
            <w:r>
              <w:rPr>
                <w:sz w:val="22"/>
                <w:szCs w:val="22"/>
              </w:rPr>
              <w:t xml:space="preserve">  (MB Docket No. </w:t>
            </w:r>
            <w:r w:rsidRPr="00A331A2">
              <w:rPr>
                <w:sz w:val="22"/>
                <w:szCs w:val="22"/>
              </w:rPr>
              <w:t>18-202</w:t>
            </w:r>
            <w:r>
              <w:rPr>
                <w:sz w:val="22"/>
                <w:szCs w:val="22"/>
              </w:rPr>
              <w:t>)</w:t>
            </w:r>
          </w:p>
          <w:p w:rsidR="00C94A19" w:rsidP="00C94A19">
            <w:pPr>
              <w:tabs>
                <w:tab w:val="left" w:pos="8640"/>
              </w:tabs>
              <w:rPr>
                <w:sz w:val="22"/>
                <w:szCs w:val="22"/>
              </w:rPr>
            </w:pPr>
          </w:p>
          <w:p w:rsidR="00C94A19" w:rsidRPr="00F65C22" w:rsidP="00C94A19">
            <w:pPr>
              <w:tabs>
                <w:tab w:val="left" w:pos="8640"/>
              </w:tabs>
              <w:rPr>
                <w:sz w:val="22"/>
                <w:szCs w:val="22"/>
              </w:rPr>
            </w:pPr>
            <w:r w:rsidRPr="00F65C22">
              <w:rPr>
                <w:b/>
                <w:bCs/>
                <w:sz w:val="22"/>
                <w:szCs w:val="22"/>
              </w:rPr>
              <w:t>Emergency Alert System and Wireless Emergency Alerts</w:t>
            </w:r>
            <w:r w:rsidRPr="00F65C22">
              <w:rPr>
                <w:sz w:val="22"/>
                <w:szCs w:val="22"/>
              </w:rPr>
              <w:t xml:space="preserve"> – The Commission will consider a Report and Order and Further Notice of Proposed Rulemaking to improve emergency alerting, including facilitating more effective EAS tests and preventing false alerts. </w:t>
            </w:r>
            <w:r>
              <w:rPr>
                <w:sz w:val="22"/>
                <w:szCs w:val="22"/>
              </w:rPr>
              <w:t xml:space="preserve"> </w:t>
            </w:r>
            <w:r w:rsidRPr="00F65C22">
              <w:rPr>
                <w:sz w:val="22"/>
                <w:szCs w:val="22"/>
              </w:rPr>
              <w:t>(PS Docket Nos. 15-91</w:t>
            </w:r>
            <w:r>
              <w:rPr>
                <w:sz w:val="22"/>
                <w:szCs w:val="22"/>
              </w:rPr>
              <w:t>,</w:t>
            </w:r>
            <w:r w:rsidRPr="00F65C22">
              <w:rPr>
                <w:sz w:val="22"/>
                <w:szCs w:val="22"/>
              </w:rPr>
              <w:t xml:space="preserve"> 15-94)</w:t>
            </w:r>
          </w:p>
          <w:p w:rsidR="005D76EF" w:rsidP="00A41840">
            <w:pPr>
              <w:tabs>
                <w:tab w:val="left" w:pos="8640"/>
              </w:tabs>
              <w:rPr>
                <w:sz w:val="22"/>
                <w:szCs w:val="22"/>
              </w:rPr>
            </w:pPr>
          </w:p>
          <w:p w:rsidR="00F65C22" w:rsidP="00A41840">
            <w:pPr>
              <w:tabs>
                <w:tab w:val="left" w:pos="8640"/>
              </w:tabs>
              <w:rPr>
                <w:sz w:val="22"/>
                <w:szCs w:val="22"/>
              </w:rPr>
            </w:pPr>
            <w:bookmarkStart w:id="2" w:name="_Hlk517270175"/>
            <w:r w:rsidRPr="00F65C22">
              <w:rPr>
                <w:b/>
                <w:sz w:val="22"/>
                <w:szCs w:val="22"/>
              </w:rPr>
              <w:t>Nationwide Number Portability</w:t>
            </w:r>
            <w:r w:rsidRPr="00F65C22">
              <w:rPr>
                <w:sz w:val="22"/>
                <w:szCs w:val="22"/>
              </w:rPr>
              <w:t xml:space="preserve"> </w:t>
            </w:r>
            <w:r>
              <w:rPr>
                <w:sz w:val="22"/>
                <w:szCs w:val="22"/>
              </w:rPr>
              <w:t xml:space="preserve">– </w:t>
            </w:r>
            <w:r w:rsidRPr="00F65C22">
              <w:rPr>
                <w:sz w:val="22"/>
                <w:szCs w:val="22"/>
              </w:rPr>
              <w:t>The Commission will consider a Report and Order that forbear</w:t>
            </w:r>
            <w:r w:rsidR="00824490">
              <w:rPr>
                <w:sz w:val="22"/>
                <w:szCs w:val="22"/>
              </w:rPr>
              <w:t>s</w:t>
            </w:r>
            <w:r w:rsidRPr="00F65C22">
              <w:rPr>
                <w:sz w:val="22"/>
                <w:szCs w:val="22"/>
              </w:rPr>
              <w:t xml:space="preserve"> from legacy requirements and amend</w:t>
            </w:r>
            <w:r w:rsidR="00824490">
              <w:rPr>
                <w:sz w:val="22"/>
                <w:szCs w:val="22"/>
              </w:rPr>
              <w:t>s</w:t>
            </w:r>
            <w:r w:rsidRPr="00F65C22">
              <w:rPr>
                <w:sz w:val="22"/>
                <w:szCs w:val="22"/>
              </w:rPr>
              <w:t xml:space="preserve"> rules to facilitate the move toward complete nationwide number portability to promote competition between all service providers and increase network routing efficiencies.</w:t>
            </w:r>
            <w:r>
              <w:rPr>
                <w:sz w:val="22"/>
                <w:szCs w:val="22"/>
              </w:rPr>
              <w:t xml:space="preserve">  </w:t>
            </w:r>
            <w:r w:rsidRPr="00F65C22">
              <w:rPr>
                <w:sz w:val="22"/>
                <w:szCs w:val="22"/>
              </w:rPr>
              <w:t>(WC Docket N</w:t>
            </w:r>
            <w:r>
              <w:rPr>
                <w:sz w:val="22"/>
                <w:szCs w:val="22"/>
              </w:rPr>
              <w:t>o</w:t>
            </w:r>
            <w:r w:rsidR="00C94A19">
              <w:rPr>
                <w:sz w:val="22"/>
                <w:szCs w:val="22"/>
              </w:rPr>
              <w:t xml:space="preserve">s. 17-244, </w:t>
            </w:r>
            <w:r>
              <w:rPr>
                <w:sz w:val="22"/>
                <w:szCs w:val="22"/>
              </w:rPr>
              <w:t>13-97)</w:t>
            </w:r>
          </w:p>
          <w:p w:rsidR="005D76EF" w:rsidP="00A41840">
            <w:pPr>
              <w:tabs>
                <w:tab w:val="left" w:pos="8640"/>
              </w:tabs>
              <w:rPr>
                <w:sz w:val="22"/>
                <w:szCs w:val="22"/>
              </w:rPr>
            </w:pPr>
            <w:bookmarkEnd w:id="2"/>
          </w:p>
          <w:p w:rsidR="005D76EF" w:rsidP="00A41840">
            <w:pPr>
              <w:tabs>
                <w:tab w:val="left" w:pos="8640"/>
              </w:tabs>
              <w:rPr>
                <w:sz w:val="22"/>
                <w:szCs w:val="22"/>
              </w:rPr>
            </w:pPr>
            <w:r w:rsidRPr="00A331A2">
              <w:rPr>
                <w:b/>
                <w:sz w:val="22"/>
                <w:szCs w:val="22"/>
              </w:rPr>
              <w:t>Formal Complaint Rules Consolidation Order</w:t>
            </w:r>
            <w:r w:rsidRPr="00A331A2">
              <w:rPr>
                <w:sz w:val="22"/>
                <w:szCs w:val="22"/>
              </w:rPr>
              <w:t xml:space="preserve"> – The Commission will consider a Report and Order that consolidates and streamlines the rules governing formal complaint proceedings delegated to the Enforcement Bureau.  (EB Docket No. 17-245) </w:t>
            </w:r>
          </w:p>
          <w:p w:rsidR="002819BC" w:rsidRPr="00A41840" w:rsidP="00A41840">
            <w:pPr>
              <w:tabs>
                <w:tab w:val="left" w:pos="8640"/>
              </w:tabs>
              <w:rPr>
                <w:sz w:val="22"/>
                <w:szCs w:val="22"/>
              </w:rPr>
            </w:pPr>
          </w:p>
          <w:p w:rsidR="00D569AA" w:rsidRPr="00D569AA" w:rsidP="00D569AA">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r>
              <w:fldChar w:fldCharType="begin"/>
            </w:r>
            <w:r>
              <w:instrText xml:space="preserve"> HYPERLINK "http://www.fcc.gov/openmeeting" </w:instrText>
            </w:r>
            <w:r>
              <w:fldChar w:fldCharType="separate"/>
            </w:r>
            <w:r w:rsidRPr="000B4CA4">
              <w:rPr>
                <w:rStyle w:val="Hyperlink"/>
                <w:sz w:val="22"/>
                <w:szCs w:val="22"/>
              </w:rPr>
              <w:t>www.fcc.gov/openmeeting</w:t>
            </w:r>
            <w:r>
              <w:fldChar w:fldCharType="end"/>
            </w:r>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r>
              <w:fldChar w:fldCharType="begin"/>
            </w:r>
            <w:r>
              <w:instrText xml:space="preserve"> HYPERLINK "http://www.fcc.gov/live" </w:instrText>
            </w:r>
            <w:r>
              <w:fldChar w:fldCharType="separate"/>
            </w:r>
            <w:r w:rsidRPr="000B4CA4">
              <w:rPr>
                <w:rStyle w:val="Hyperlink"/>
                <w:sz w:val="22"/>
                <w:szCs w:val="22"/>
              </w:rPr>
              <w:t>www.fcc.gov/live</w:t>
            </w:r>
            <w:r>
              <w:fldChar w:fldCharType="end"/>
            </w:r>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E644FE" w:rsidRPr="006B0A70" w:rsidP="00B47F70">
            <w:pPr>
              <w:ind w:right="72"/>
              <w:jc w:val="center"/>
              <w:rPr>
                <w:b/>
                <w:bCs/>
                <w:sz w:val="18"/>
                <w:szCs w:val="18"/>
              </w:rPr>
            </w:pPr>
            <w:bookmarkEnd w:id="0"/>
            <w:r w:rsidRPr="00641CD8">
              <w:rPr>
                <w:b/>
                <w:bCs/>
                <w:sz w:val="22"/>
                <w:szCs w:val="22"/>
              </w:rPr>
              <w:br/>
            </w:r>
            <w:r w:rsidRPr="006B0A70">
              <w:rPr>
                <w:b/>
                <w:bCs/>
                <w:sz w:val="18"/>
                <w:szCs w:val="18"/>
              </w:rPr>
              <w:t>Office of Media Relations: 202.418.0500</w:t>
            </w:r>
          </w:p>
          <w:p w:rsidR="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P="00B47F70">
            <w:pPr>
              <w:ind w:right="72"/>
              <w:jc w:val="center"/>
              <w:rPr>
                <w:b/>
                <w:bCs/>
                <w:sz w:val="18"/>
                <w:szCs w:val="18"/>
              </w:rPr>
            </w:pPr>
            <w:r>
              <w:rPr>
                <w:b/>
                <w:bCs/>
                <w:sz w:val="18"/>
                <w:szCs w:val="18"/>
              </w:rPr>
              <w:t>Twitter: @FCC</w:t>
            </w:r>
          </w:p>
          <w:p w:rsidR="002819BC" w:rsidP="00B47F70">
            <w:pPr>
              <w:ind w:right="72"/>
              <w:jc w:val="center"/>
              <w:rPr>
                <w:b/>
                <w:bCs/>
                <w:sz w:val="18"/>
                <w:szCs w:val="18"/>
              </w:rPr>
            </w:pPr>
            <w:r>
              <w:rPr>
                <w:b/>
                <w:bCs/>
                <w:sz w:val="18"/>
                <w:szCs w:val="18"/>
              </w:rPr>
              <w:t>#OpenMtgFCC</w:t>
            </w:r>
          </w:p>
          <w:p w:rsidR="002819BC" w:rsidRPr="00EE0E90" w:rsidP="00B47F70">
            <w:pPr>
              <w:ind w:right="72"/>
              <w:jc w:val="center"/>
              <w:rPr>
                <w:b/>
                <w:bCs/>
                <w:sz w:val="18"/>
                <w:szCs w:val="18"/>
              </w:rPr>
            </w:pPr>
            <w:r>
              <w:rPr>
                <w:b/>
                <w:bCs/>
                <w:sz w:val="18"/>
                <w:szCs w:val="18"/>
              </w:rPr>
              <w:t>www.fcc.gov/</w:t>
            </w:r>
            <w:r w:rsidRPr="007B3A48">
              <w:rPr>
                <w:b/>
                <w:bCs/>
                <w:sz w:val="18"/>
                <w:szCs w:val="18"/>
              </w:rPr>
              <w:t>media-relations</w:t>
            </w:r>
          </w:p>
          <w:p w:rsidR="00EE0E90" w:rsidP="00B47F70">
            <w:pPr>
              <w:ind w:right="72"/>
              <w:jc w:val="center"/>
              <w:rPr>
                <w:b/>
                <w:bCs/>
                <w:sz w:val="18"/>
                <w:szCs w:val="18"/>
              </w:rPr>
            </w:pPr>
          </w:p>
          <w:p w:rsidR="00EE0E90" w:rsidRPr="00986C92"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P="00142C13">
            <w:pPr>
              <w:ind w:left="360" w:right="498"/>
              <w:jc w:val="center"/>
              <w:rPr>
                <w:b/>
                <w:bCs/>
                <w:sz w:val="18"/>
                <w:szCs w:val="18"/>
              </w:rPr>
            </w:pP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