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7A459A" w:rsidRPr="007A459A" w:rsidP="007A459A">
      <w:pPr>
        <w:spacing w:after="0" w:line="240" w:lineRule="auto"/>
        <w:jc w:val="center"/>
        <w:rPr>
          <w:rFonts w:ascii="Calibri" w:eastAsia="Times New Roman" w:hAnsi="Calibri" w:cs="Times New Roman"/>
          <w:b/>
        </w:rPr>
      </w:pPr>
      <w:r w:rsidRPr="007A459A">
        <w:rPr>
          <w:rFonts w:ascii="Calibri" w:eastAsia="Times New Roman" w:hAnsi="Calibri" w:cs="Times New Roman"/>
          <w:b/>
        </w:rPr>
        <w:t xml:space="preserve">Remarks of FCC Commissioner Michael </w:t>
      </w:r>
      <w:r w:rsidRPr="007A459A">
        <w:rPr>
          <w:rFonts w:ascii="Calibri" w:eastAsia="Times New Roman" w:hAnsi="Calibri" w:cs="Times New Roman"/>
          <w:b/>
        </w:rPr>
        <w:t>O’Rielly</w:t>
      </w:r>
    </w:p>
    <w:p w:rsidR="007A459A" w:rsidRPr="007A459A" w:rsidP="007A459A">
      <w:pPr>
        <w:spacing w:after="0" w:line="240" w:lineRule="auto"/>
        <w:jc w:val="center"/>
        <w:rPr>
          <w:rFonts w:ascii="Calibri" w:eastAsia="Times New Roman" w:hAnsi="Calibri" w:cs="Times New Roman"/>
          <w:b/>
        </w:rPr>
      </w:pPr>
      <w:r w:rsidRPr="007A459A">
        <w:rPr>
          <w:rFonts w:ascii="Calibri" w:eastAsia="Times New Roman" w:hAnsi="Calibri" w:cs="Times New Roman"/>
          <w:b/>
        </w:rPr>
        <w:t xml:space="preserve">Before the </w:t>
      </w:r>
      <w:r>
        <w:rPr>
          <w:rFonts w:ascii="Calibri" w:eastAsia="Times New Roman" w:hAnsi="Calibri" w:cs="Times New Roman"/>
          <w:b/>
        </w:rPr>
        <w:t>Free State Foundation</w:t>
      </w:r>
    </w:p>
    <w:p w:rsidR="00130D29" w:rsidP="007A459A">
      <w:pPr>
        <w:spacing w:after="0" w:line="240" w:lineRule="auto"/>
        <w:jc w:val="center"/>
        <w:rPr>
          <w:rFonts w:ascii="Calibri" w:eastAsia="Times New Roman" w:hAnsi="Calibri" w:cs="Times New Roman"/>
          <w:b/>
        </w:rPr>
      </w:pPr>
      <w:r w:rsidRPr="007A459A">
        <w:rPr>
          <w:rFonts w:ascii="Calibri" w:eastAsia="Times New Roman" w:hAnsi="Calibri" w:cs="Times New Roman"/>
          <w:b/>
        </w:rPr>
        <w:t>June 2</w:t>
      </w:r>
      <w:r>
        <w:rPr>
          <w:rFonts w:ascii="Calibri" w:eastAsia="Times New Roman" w:hAnsi="Calibri" w:cs="Times New Roman"/>
          <w:b/>
        </w:rPr>
        <w:t>8</w:t>
      </w:r>
      <w:r w:rsidRPr="007A459A">
        <w:rPr>
          <w:rFonts w:ascii="Calibri" w:eastAsia="Times New Roman" w:hAnsi="Calibri" w:cs="Times New Roman"/>
          <w:b/>
        </w:rPr>
        <w:t>, 2018</w:t>
      </w:r>
    </w:p>
    <w:p w:rsidR="007A459A" w:rsidP="007A459A">
      <w:pPr>
        <w:spacing w:after="0" w:line="240" w:lineRule="auto"/>
        <w:jc w:val="center"/>
      </w:pPr>
    </w:p>
    <w:p w:rsidR="00AC222F" w:rsidP="0086580B">
      <w:pPr>
        <w:spacing w:after="0" w:line="240" w:lineRule="auto"/>
      </w:pPr>
      <w:r>
        <w:t xml:space="preserve">Thank you, Randy, for that kind introduction and for inviting me to, once again, be part of your event.  I think it is safe to say that I have presented more remarks at the Free State Foundation than </w:t>
      </w:r>
      <w:r w:rsidR="008B1E2F">
        <w:t xml:space="preserve">at </w:t>
      </w:r>
      <w:r>
        <w:t>any other venue.</w:t>
      </w:r>
      <w:r>
        <w:t xml:space="preserve">  </w:t>
      </w:r>
      <w:r w:rsidR="007A459A">
        <w:t xml:space="preserve">I consider this quite an honor, but </w:t>
      </w:r>
      <w:r w:rsidR="00DE573A">
        <w:t xml:space="preserve">I </w:t>
      </w:r>
      <w:r w:rsidR="00913492">
        <w:t xml:space="preserve">remain </w:t>
      </w:r>
      <w:r w:rsidR="007D2415">
        <w:t xml:space="preserve">somewhat </w:t>
      </w:r>
      <w:r w:rsidR="00913492">
        <w:t xml:space="preserve">surprised </w:t>
      </w:r>
      <w:r w:rsidR="007A459A">
        <w:t>every time you invite</w:t>
      </w:r>
      <w:r w:rsidR="00913492">
        <w:t xml:space="preserve"> me back</w:t>
      </w:r>
      <w:r w:rsidR="007A459A">
        <w:t>.</w:t>
      </w:r>
      <w:r w:rsidR="00913492">
        <w:t xml:space="preserve"> </w:t>
      </w:r>
      <w:r w:rsidR="00DE573A">
        <w:t xml:space="preserve"> I </w:t>
      </w:r>
      <w:r w:rsidR="007A459A">
        <w:t xml:space="preserve">guess I </w:t>
      </w:r>
      <w:r w:rsidR="00DE573A">
        <w:t>have</w:t>
      </w:r>
      <w:r w:rsidR="007A459A">
        <w:t xml:space="preserve"> </w:t>
      </w:r>
      <w:r w:rsidR="00DE573A">
        <w:t>n</w:t>
      </w:r>
      <w:r w:rsidR="007A459A">
        <w:t>o</w:t>
      </w:r>
      <w:r w:rsidR="00DE573A">
        <w:t xml:space="preserve">t diminished the reputation of </w:t>
      </w:r>
      <w:r>
        <w:t>this scholarly, free market-championing foundation</w:t>
      </w:r>
      <w:r w:rsidR="007A459A">
        <w:t xml:space="preserve"> too badly</w:t>
      </w:r>
      <w:r>
        <w:t xml:space="preserve">.  </w:t>
      </w:r>
    </w:p>
    <w:p w:rsidR="00BE3891" w:rsidP="0086580B">
      <w:pPr>
        <w:spacing w:after="0" w:line="240" w:lineRule="auto"/>
      </w:pPr>
    </w:p>
    <w:p w:rsidR="00D54451" w:rsidP="00D54451">
      <w:pPr>
        <w:spacing w:after="0" w:line="240" w:lineRule="auto"/>
      </w:pPr>
      <w:r>
        <w:t>Today’s lunch has been billed as a “twofer” seminar covering an update on FCC process reform and next steps</w:t>
      </w:r>
      <w:r w:rsidR="00616E3E">
        <w:t>, along with</w:t>
      </w:r>
      <w:r>
        <w:t xml:space="preserve"> a discussion of the latest municipal broadband dev</w:t>
      </w:r>
      <w:r w:rsidR="00C7789D">
        <w:t>elo</w:t>
      </w:r>
      <w:r>
        <w:t>pm</w:t>
      </w:r>
      <w:r w:rsidR="00616E3E">
        <w:t>ents with special attention to n</w:t>
      </w:r>
      <w:r>
        <w:t>et neutrality and First Amendment implications.</w:t>
      </w:r>
      <w:r w:rsidR="00C7789D">
        <w:t xml:space="preserve">  </w:t>
      </w:r>
      <w:r w:rsidR="007D2415">
        <w:t>Not surprisingly,</w:t>
      </w:r>
      <w:r w:rsidR="00616E3E">
        <w:t xml:space="preserve"> I have so</w:t>
      </w:r>
      <w:r w:rsidR="00EC04A6">
        <w:t>me</w:t>
      </w:r>
      <w:r w:rsidR="00616E3E">
        <w:t xml:space="preserve"> rather strong feelings about both</w:t>
      </w:r>
      <w:r w:rsidR="00EC04A6">
        <w:t xml:space="preserve"> topics</w:t>
      </w:r>
      <w:r w:rsidR="00616E3E">
        <w:t>.  But,</w:t>
      </w:r>
      <w:r w:rsidR="00C7789D">
        <w:t xml:space="preserve"> I will focus my remarks on </w:t>
      </w:r>
      <w:r w:rsidR="00844011">
        <w:t xml:space="preserve">Commission </w:t>
      </w:r>
      <w:r w:rsidR="00C7789D">
        <w:t xml:space="preserve">process reform, </w:t>
      </w:r>
      <w:r w:rsidR="00984BFE">
        <w:t xml:space="preserve">and </w:t>
      </w:r>
      <w:r w:rsidR="003A3614">
        <w:t>reserve</w:t>
      </w:r>
      <w:r w:rsidR="00616E3E">
        <w:t xml:space="preserve"> </w:t>
      </w:r>
      <w:r w:rsidR="00984BFE">
        <w:t>my</w:t>
      </w:r>
      <w:r w:rsidR="00C7789D">
        <w:t xml:space="preserve"> thoughts on muni broadband</w:t>
      </w:r>
      <w:r w:rsidR="00984BFE">
        <w:t xml:space="preserve"> for another day</w:t>
      </w:r>
      <w:r w:rsidR="00C7789D">
        <w:t>.</w:t>
      </w:r>
    </w:p>
    <w:p w:rsidR="003A3614" w:rsidP="00D54451">
      <w:pPr>
        <w:spacing w:after="0" w:line="240" w:lineRule="auto"/>
      </w:pPr>
    </w:p>
    <w:p w:rsidR="00931F58" w:rsidP="0086580B">
      <w:pPr>
        <w:spacing w:after="0" w:line="240" w:lineRule="auto"/>
      </w:pPr>
      <w:r>
        <w:t xml:space="preserve">Shakespeare </w:t>
      </w:r>
      <w:r w:rsidR="007D2415">
        <w:t>wrote</w:t>
      </w:r>
      <w:r>
        <w:t xml:space="preserve"> that “to climb steep hills requires a slow pace at first.”  </w:t>
      </w:r>
      <w:r w:rsidR="00495F9C">
        <w:t>Who knew</w:t>
      </w:r>
      <w:r>
        <w:t xml:space="preserve"> Shakespeare was familiar with </w:t>
      </w:r>
      <w:r w:rsidR="002237B5">
        <w:t xml:space="preserve">the glacial pace of change </w:t>
      </w:r>
      <w:r w:rsidR="00913492">
        <w:t>at the FCC</w:t>
      </w:r>
      <w:r w:rsidR="002237B5">
        <w:t xml:space="preserve">.  </w:t>
      </w:r>
      <w:r w:rsidR="00E20345">
        <w:t>I have often said that everything at the Commission takes</w:t>
      </w:r>
      <w:r w:rsidR="00633A82">
        <w:t xml:space="preserve"> about two years</w:t>
      </w:r>
      <w:r w:rsidR="00E20345">
        <w:t xml:space="preserve"> longer that you would expect</w:t>
      </w:r>
      <w:r w:rsidR="002237B5">
        <w:t>, but</w:t>
      </w:r>
      <w:r w:rsidR="00E20345">
        <w:t xml:space="preserve"> </w:t>
      </w:r>
      <w:r w:rsidR="00EC04A6">
        <w:t>apparently it takes even longer to</w:t>
      </w:r>
      <w:r w:rsidR="00E20345">
        <w:t xml:space="preserve"> chang</w:t>
      </w:r>
      <w:r w:rsidR="00EC04A6">
        <w:t>e</w:t>
      </w:r>
      <w:r w:rsidR="00E20345">
        <w:t xml:space="preserve"> the </w:t>
      </w:r>
      <w:r>
        <w:t xml:space="preserve">decades-old </w:t>
      </w:r>
      <w:r w:rsidR="00E20345">
        <w:t xml:space="preserve">inner workings of the Commission.  </w:t>
      </w:r>
    </w:p>
    <w:p w:rsidR="00261C5D" w:rsidP="0086580B">
      <w:pPr>
        <w:spacing w:after="0" w:line="240" w:lineRule="auto"/>
      </w:pPr>
    </w:p>
    <w:p w:rsidR="00DA1A29" w:rsidP="0086580B">
      <w:pPr>
        <w:spacing w:after="0" w:line="240" w:lineRule="auto"/>
      </w:pPr>
      <w:r>
        <w:t xml:space="preserve">Improving the procedures at the Commission has been </w:t>
      </w:r>
      <w:r w:rsidR="005C4C5C">
        <w:t>a mission</w:t>
      </w:r>
      <w:r>
        <w:t xml:space="preserve"> of mine since </w:t>
      </w:r>
      <w:r w:rsidR="007D2415">
        <w:t>early in my tenure</w:t>
      </w:r>
      <w:r w:rsidR="005C4C5C">
        <w:t xml:space="preserve">.  </w:t>
      </w:r>
      <w:r w:rsidR="0070582A">
        <w:t>In fact</w:t>
      </w:r>
      <w:r w:rsidR="005C4C5C">
        <w:t xml:space="preserve">, I first spoke about process reform at the Free State Foundation in July of 2015.  </w:t>
      </w:r>
      <w:r w:rsidR="00EC04A6">
        <w:t xml:space="preserve">At that time, I </w:t>
      </w:r>
      <w:r w:rsidR="005C4C5C">
        <w:t xml:space="preserve">set out my principles that </w:t>
      </w:r>
      <w:r w:rsidR="008B1E2F">
        <w:t xml:space="preserve">reform </w:t>
      </w:r>
      <w:r w:rsidR="005C4C5C">
        <w:t>ideas must improve the functionality, legitimacy</w:t>
      </w:r>
      <w:r w:rsidR="00516D6B">
        <w:t>,</w:t>
      </w:r>
      <w:r w:rsidR="005C4C5C">
        <w:t xml:space="preserve"> and transparency of the Commission.  All proposals that I have supported, either at adoption or in concept, have enhanced these goals.  </w:t>
      </w:r>
      <w:r w:rsidR="00913492">
        <w:t>Now that almost three years have gone by</w:t>
      </w:r>
      <w:r w:rsidR="005C4C5C">
        <w:t xml:space="preserve">, an update seems </w:t>
      </w:r>
      <w:r w:rsidR="0080103E">
        <w:t xml:space="preserve">most </w:t>
      </w:r>
      <w:r w:rsidR="005C4C5C">
        <w:t xml:space="preserve">appropriate.  </w:t>
      </w:r>
    </w:p>
    <w:p w:rsidR="00261C5D" w:rsidP="0086580B">
      <w:pPr>
        <w:spacing w:after="0" w:line="240" w:lineRule="auto"/>
      </w:pPr>
    </w:p>
    <w:p w:rsidR="009D7220" w:rsidP="0086580B">
      <w:pPr>
        <w:spacing w:after="0" w:line="240" w:lineRule="auto"/>
        <w:rPr>
          <w:i/>
        </w:rPr>
      </w:pPr>
      <w:r>
        <w:rPr>
          <w:i/>
        </w:rPr>
        <w:t>Recent Improvements</w:t>
      </w:r>
    </w:p>
    <w:p w:rsidR="00261C5D" w:rsidRPr="009D7220" w:rsidP="0086580B">
      <w:pPr>
        <w:spacing w:after="0" w:line="240" w:lineRule="auto"/>
        <w:rPr>
          <w:i/>
        </w:rPr>
      </w:pPr>
    </w:p>
    <w:p w:rsidR="005B4D24" w:rsidP="0086580B">
      <w:pPr>
        <w:spacing w:after="0" w:line="240" w:lineRule="auto"/>
      </w:pPr>
      <w:r>
        <w:t>The most groundbreaking reform</w:t>
      </w:r>
      <w:r w:rsidR="009D7220">
        <w:t xml:space="preserve"> </w:t>
      </w:r>
      <w:r w:rsidR="0080103E">
        <w:t xml:space="preserve">recently adopted and implemented </w:t>
      </w:r>
      <w:r w:rsidR="00EC04A6">
        <w:t xml:space="preserve">has been the online posting of items three weeks in advance of their consideration at </w:t>
      </w:r>
      <w:r>
        <w:t>monthly Commission meeting</w:t>
      </w:r>
      <w:r w:rsidR="007A459A">
        <w:t>s</w:t>
      </w:r>
      <w:r>
        <w:t>.  When I first proposed the idea, I knew that providing information to all, instead of to the few with pricey D</w:t>
      </w:r>
      <w:r w:rsidR="00EC04A6">
        <w:t>.</w:t>
      </w:r>
      <w:r>
        <w:t>C</w:t>
      </w:r>
      <w:r w:rsidR="00EC04A6">
        <w:t>.</w:t>
      </w:r>
      <w:r>
        <w:t xml:space="preserve"> representation</w:t>
      </w:r>
      <w:r w:rsidR="00913492">
        <w:t>,</w:t>
      </w:r>
      <w:r>
        <w:t xml:space="preserve"> would enhance the transparency and legitimacy of the agency</w:t>
      </w:r>
      <w:r w:rsidR="00575193">
        <w:t xml:space="preserve">.  But, the response from many was that it would bring the </w:t>
      </w:r>
      <w:r w:rsidR="00EC04A6">
        <w:t>FCC</w:t>
      </w:r>
      <w:r w:rsidR="00575193">
        <w:t xml:space="preserve">’s work to a halt, Commissioners would </w:t>
      </w:r>
      <w:r w:rsidR="00E63051">
        <w:t>be hesitant</w:t>
      </w:r>
      <w:r w:rsidR="00575193">
        <w:t xml:space="preserve"> to negotiate, and so</w:t>
      </w:r>
      <w:r w:rsidR="001977DC">
        <w:t>me</w:t>
      </w:r>
      <w:r w:rsidR="00575193">
        <w:t xml:space="preserve"> sort of regulatory chaos would ensue.  </w:t>
      </w:r>
      <w:r w:rsidR="00BA1823">
        <w:t xml:space="preserve">None of this has come to pass.  </w:t>
      </w:r>
      <w:r w:rsidR="00913492">
        <w:t>Instead</w:t>
      </w:r>
      <w:r w:rsidR="00575193">
        <w:t xml:space="preserve">, the Commission’s process has become far more efficient.  Meetings are targeted to specific issues, </w:t>
      </w:r>
      <w:r w:rsidR="007A459A">
        <w:t xml:space="preserve">unnecessary discussions of non-existent issues have been eliminated, </w:t>
      </w:r>
      <w:r w:rsidR="00575193">
        <w:t xml:space="preserve">conversations are more productive, </w:t>
      </w:r>
      <w:r w:rsidR="007A459A">
        <w:t xml:space="preserve">Commissioners are still speaking their minds, </w:t>
      </w:r>
      <w:r w:rsidR="00575193">
        <w:t xml:space="preserve">and work product has greatly improved.  </w:t>
      </w:r>
      <w:r w:rsidR="0006619C">
        <w:t xml:space="preserve">Since being </w:t>
      </w:r>
      <w:r w:rsidR="0080103E">
        <w:t>enact</w:t>
      </w:r>
      <w:r w:rsidR="0006619C">
        <w:t>ed, I have also seen comments from all Commissioner office</w:t>
      </w:r>
      <w:r w:rsidR="004448F7">
        <w:t>s</w:t>
      </w:r>
      <w:r w:rsidR="0006619C">
        <w:t xml:space="preserve"> — Republican and Democrats — in favor of </w:t>
      </w:r>
      <w:r w:rsidR="003A3614">
        <w:t xml:space="preserve">the </w:t>
      </w:r>
      <w:r w:rsidR="0006619C">
        <w:t xml:space="preserve">practice.  Not bad for </w:t>
      </w:r>
      <w:r w:rsidR="00C9069A">
        <w:t>an idea from someone who hadn’t worked at the</w:t>
      </w:r>
      <w:r w:rsidR="0006619C">
        <w:t xml:space="preserve"> Commission </w:t>
      </w:r>
      <w:r w:rsidR="00C9069A">
        <w:t>before</w:t>
      </w:r>
      <w:r w:rsidR="004448F7">
        <w:t xml:space="preserve">.  </w:t>
      </w:r>
      <w:r w:rsidR="00575193">
        <w:t>If this is regulatory A</w:t>
      </w:r>
      <w:r w:rsidR="00E63051">
        <w:t>pocalypse</w:t>
      </w:r>
      <w:r w:rsidR="00575193">
        <w:t>, I am all for it</w:t>
      </w:r>
      <w:r w:rsidR="00BA7434">
        <w:t xml:space="preserve">. </w:t>
      </w:r>
      <w:r w:rsidR="006976DC">
        <w:t xml:space="preserve"> Now</w:t>
      </w:r>
      <w:r w:rsidR="008B1E2F">
        <w:t>,</w:t>
      </w:r>
      <w:r w:rsidR="006976DC">
        <w:t xml:space="preserve"> if we can only get </w:t>
      </w:r>
      <w:r w:rsidR="00955A13">
        <w:t xml:space="preserve">this policy change extended to </w:t>
      </w:r>
      <w:r w:rsidR="00C34781">
        <w:t xml:space="preserve">non-adjudicatory </w:t>
      </w:r>
      <w:r w:rsidR="00955A13">
        <w:t xml:space="preserve">Circulation items, which </w:t>
      </w:r>
      <w:r w:rsidR="00C34781">
        <w:t>tend to be technical in nature and could benefit from public input</w:t>
      </w:r>
      <w:r w:rsidR="00A00222">
        <w:t xml:space="preserve">.  </w:t>
      </w:r>
    </w:p>
    <w:p w:rsidR="00183B6B" w:rsidP="0086580B">
      <w:pPr>
        <w:spacing w:after="0" w:line="240" w:lineRule="auto"/>
      </w:pPr>
    </w:p>
    <w:p w:rsidR="00261C5D" w:rsidP="0086580B">
      <w:pPr>
        <w:spacing w:after="0" w:line="240" w:lineRule="auto"/>
      </w:pPr>
      <w:r>
        <w:t>Making the drafts public has also helped with other</w:t>
      </w:r>
      <w:r w:rsidR="00C2575E">
        <w:t xml:space="preserve"> process </w:t>
      </w:r>
      <w:r w:rsidR="00E65889">
        <w:t>fouls</w:t>
      </w:r>
      <w:r w:rsidR="00C2575E">
        <w:t>.  For instance, draft</w:t>
      </w:r>
      <w:r w:rsidR="00633A82">
        <w:t>s</w:t>
      </w:r>
      <w:r w:rsidR="00C2575E">
        <w:t xml:space="preserve"> are now more </w:t>
      </w:r>
      <w:r w:rsidR="00913492">
        <w:t xml:space="preserve">complete and </w:t>
      </w:r>
      <w:r w:rsidR="00C2575E">
        <w:t xml:space="preserve">polished prior to </w:t>
      </w:r>
      <w:r w:rsidR="00957CA7">
        <w:t xml:space="preserve">the </w:t>
      </w:r>
      <w:r w:rsidR="00C2575E">
        <w:t xml:space="preserve">public </w:t>
      </w:r>
      <w:r w:rsidR="00957CA7">
        <w:t>reveal</w:t>
      </w:r>
      <w:r w:rsidR="00C2575E">
        <w:t xml:space="preserve">, so edits </w:t>
      </w:r>
      <w:r w:rsidR="00BA1823">
        <w:t>prior to the meeting</w:t>
      </w:r>
      <w:r w:rsidR="00C2575E">
        <w:t xml:space="preserve"> are coming from Commissioners, as opposed to </w:t>
      </w:r>
      <w:r w:rsidR="007A459A">
        <w:t xml:space="preserve">there </w:t>
      </w:r>
      <w:r w:rsidR="00C2575E">
        <w:t xml:space="preserve">being last minute changes </w:t>
      </w:r>
      <w:r w:rsidR="00957CA7">
        <w:t xml:space="preserve">– or rewrites – </w:t>
      </w:r>
      <w:r w:rsidR="00C2575E">
        <w:t xml:space="preserve">from </w:t>
      </w:r>
      <w:r w:rsidR="00957CA7">
        <w:t>staff</w:t>
      </w:r>
      <w:r w:rsidR="00C2575E">
        <w:t xml:space="preserve"> or the Office of General Counsel</w:t>
      </w:r>
      <w:r w:rsidR="00A96895">
        <w:t xml:space="preserve"> (OGC)</w:t>
      </w:r>
      <w:r w:rsidR="00C2575E">
        <w:t xml:space="preserve">.  </w:t>
      </w:r>
      <w:r w:rsidR="00957CA7">
        <w:t>It was always fun to</w:t>
      </w:r>
      <w:r w:rsidR="00C2575E">
        <w:t xml:space="preserve"> read one item, just to get a </w:t>
      </w:r>
      <w:r w:rsidR="00957CA7">
        <w:t xml:space="preserve">different draft to review and </w:t>
      </w:r>
      <w:r w:rsidR="00957CA7">
        <w:t>negotiate</w:t>
      </w:r>
      <w:r w:rsidR="00C2575E">
        <w:t xml:space="preserve"> </w:t>
      </w:r>
      <w:r w:rsidR="008B1E2F">
        <w:t>one</w:t>
      </w:r>
      <w:r w:rsidR="00B06AB5">
        <w:t xml:space="preserve"> </w:t>
      </w:r>
      <w:r w:rsidR="00EC04A6">
        <w:t>– or sometimes even two –</w:t>
      </w:r>
      <w:r w:rsidR="00C2575E">
        <w:t xml:space="preserve"> </w:t>
      </w:r>
      <w:r w:rsidR="008B1E2F">
        <w:t xml:space="preserve">weeks </w:t>
      </w:r>
      <w:r w:rsidR="00C2575E">
        <w:t>later.  Similarly, ensuring a b</w:t>
      </w:r>
      <w:r w:rsidR="00633A82">
        <w:t>etter draft upfront has also reduced the need for</w:t>
      </w:r>
      <w:r w:rsidR="00C2575E">
        <w:t xml:space="preserve"> </w:t>
      </w:r>
      <w:r w:rsidR="00633A82">
        <w:t xml:space="preserve">substantive </w:t>
      </w:r>
      <w:r w:rsidR="00C2575E">
        <w:t>post-adoption edit</w:t>
      </w:r>
      <w:r w:rsidR="00633A82">
        <w:t xml:space="preserve">s, a practice that Chairman Pai </w:t>
      </w:r>
      <w:r w:rsidR="00495F9C">
        <w:t xml:space="preserve">thankfully </w:t>
      </w:r>
      <w:r w:rsidR="00633A82">
        <w:t>eliminate</w:t>
      </w:r>
      <w:r w:rsidR="00B06AB5">
        <w:t>d</w:t>
      </w:r>
      <w:r w:rsidR="00633A82">
        <w:t>.</w:t>
      </w:r>
      <w:r w:rsidR="00C2575E">
        <w:t xml:space="preserve"> </w:t>
      </w:r>
      <w:r w:rsidR="007A078D">
        <w:t xml:space="preserve"> </w:t>
      </w:r>
    </w:p>
    <w:p w:rsidR="004448F7" w:rsidP="0086580B">
      <w:pPr>
        <w:spacing w:after="0" w:line="240" w:lineRule="auto"/>
      </w:pPr>
    </w:p>
    <w:p w:rsidR="00C7789D" w:rsidP="0086580B">
      <w:pPr>
        <w:spacing w:after="0" w:line="240" w:lineRule="auto"/>
      </w:pPr>
      <w:r>
        <w:t>The Commission is also in the process of implementing r</w:t>
      </w:r>
      <w:r w:rsidR="00917BDC">
        <w:t xml:space="preserve">eforms to fix </w:t>
      </w:r>
      <w:r w:rsidR="0080103E">
        <w:t xml:space="preserve">certain </w:t>
      </w:r>
      <w:r w:rsidR="00917BDC">
        <w:t>substantive shortfalls.  One of the first concerns I raised was the woeful cost-benefit analyses</w:t>
      </w:r>
      <w:r w:rsidR="00A96895">
        <w:t xml:space="preserve"> (CBA)</w:t>
      </w:r>
      <w:r w:rsidR="00917BDC">
        <w:t xml:space="preserve"> that were being performed to justify </w:t>
      </w:r>
      <w:r w:rsidR="00A96895">
        <w:t xml:space="preserve">burdensome </w:t>
      </w:r>
      <w:r w:rsidR="00917BDC">
        <w:t xml:space="preserve">regulations.  The Chairman is in the process of setting up the Office of Economics and Analytics, which will spearhead </w:t>
      </w:r>
      <w:r w:rsidR="000148DB">
        <w:t xml:space="preserve">the CBA reform </w:t>
      </w:r>
      <w:r w:rsidR="00917BDC">
        <w:t>efforts.</w:t>
      </w:r>
      <w:r w:rsidR="005A26C4">
        <w:t xml:space="preserve"> </w:t>
      </w:r>
      <w:r w:rsidR="00E416C7">
        <w:t xml:space="preserve"> </w:t>
      </w:r>
      <w:r w:rsidR="005A26C4">
        <w:t xml:space="preserve">I </w:t>
      </w:r>
      <w:r w:rsidR="00670FEF">
        <w:t xml:space="preserve">worked with the Chairman to ensure that </w:t>
      </w:r>
      <w:r>
        <w:t>the new office</w:t>
      </w:r>
      <w:r w:rsidR="00670FEF">
        <w:t xml:space="preserve"> has the ability and power to institute drastic and long</w:t>
      </w:r>
      <w:r w:rsidR="00E63051">
        <w:t>-</w:t>
      </w:r>
      <w:r w:rsidR="00670FEF">
        <w:t>lasting change to ho</w:t>
      </w:r>
      <w:r w:rsidR="00732F5B">
        <w:t>w</w:t>
      </w:r>
      <w:r w:rsidR="00670FEF">
        <w:t xml:space="preserve"> we </w:t>
      </w:r>
      <w:r w:rsidR="00A96895">
        <w:t>consider the economic impact of the rules we adopt</w:t>
      </w:r>
      <w:r w:rsidR="00670FEF">
        <w:t>.</w:t>
      </w:r>
      <w:r w:rsidR="00917BDC">
        <w:t xml:space="preserve"> </w:t>
      </w:r>
      <w:r w:rsidR="007A459A">
        <w:t xml:space="preserve"> </w:t>
      </w:r>
      <w:r w:rsidR="00732F5B">
        <w:t xml:space="preserve">These include requiring a rigorous, economically-grounded analysis for any rulemaking that will have an annual cost to the </w:t>
      </w:r>
      <w:r>
        <w:t>economy of $100 million or more;</w:t>
      </w:r>
      <w:r w:rsidR="00732F5B">
        <w:t xml:space="preserve"> sign-off from the new </w:t>
      </w:r>
      <w:r>
        <w:t xml:space="preserve">office prior to release of </w:t>
      </w:r>
      <w:r w:rsidR="00A96895">
        <w:t xml:space="preserve">an </w:t>
      </w:r>
      <w:r>
        <w:t>item</w:t>
      </w:r>
      <w:r w:rsidR="00A96895">
        <w:t xml:space="preserve">, placing </w:t>
      </w:r>
      <w:r w:rsidR="00495F9C">
        <w:t>it</w:t>
      </w:r>
      <w:r w:rsidR="00A96895">
        <w:t xml:space="preserve"> on equal footing with OGC</w:t>
      </w:r>
      <w:r>
        <w:t>;</w:t>
      </w:r>
      <w:r w:rsidR="00B75494">
        <w:t xml:space="preserve"> and </w:t>
      </w:r>
      <w:r w:rsidR="00732F5B">
        <w:t>a separate</w:t>
      </w:r>
      <w:r w:rsidR="008B1E2F">
        <w:t>, future</w:t>
      </w:r>
      <w:r w:rsidR="00732F5B">
        <w:t xml:space="preserve"> proceeding to </w:t>
      </w:r>
      <w:r w:rsidR="00B75494">
        <w:t>consider and adopt readily-accepted government</w:t>
      </w:r>
      <w:r>
        <w:t xml:space="preserve"> </w:t>
      </w:r>
      <w:r w:rsidR="00B75494">
        <w:t xml:space="preserve">CBA </w:t>
      </w:r>
      <w:r>
        <w:t xml:space="preserve">guidelines </w:t>
      </w:r>
      <w:r w:rsidR="00B75494">
        <w:t>that will ensure</w:t>
      </w:r>
      <w:r>
        <w:t xml:space="preserve"> a thorough economic review of </w:t>
      </w:r>
      <w:r w:rsidR="00B75494">
        <w:t xml:space="preserve">any </w:t>
      </w:r>
      <w:r>
        <w:t>new rules</w:t>
      </w:r>
      <w:r w:rsidR="00732F5B">
        <w:t>.</w:t>
      </w:r>
      <w:r>
        <w:rPr>
          <w:rStyle w:val="FootnoteReference"/>
        </w:rPr>
        <w:footnoteReference w:id="2"/>
      </w:r>
      <w:r w:rsidR="00732F5B">
        <w:t xml:space="preserve"> </w:t>
      </w:r>
    </w:p>
    <w:p w:rsidR="00261C5D" w:rsidP="0086580B">
      <w:pPr>
        <w:spacing w:after="0" w:line="240" w:lineRule="auto"/>
      </w:pPr>
    </w:p>
    <w:p w:rsidR="00723BA6" w:rsidP="00D605A3">
      <w:pPr>
        <w:spacing w:after="0" w:line="240" w:lineRule="auto"/>
        <w:rPr>
          <w:i/>
        </w:rPr>
      </w:pPr>
      <w:r w:rsidRPr="00723BA6">
        <w:rPr>
          <w:i/>
        </w:rPr>
        <w:t>Next steps</w:t>
      </w:r>
    </w:p>
    <w:p w:rsidR="00D605A3" w:rsidRPr="00723BA6" w:rsidP="00D605A3">
      <w:pPr>
        <w:spacing w:after="0" w:line="240" w:lineRule="auto"/>
        <w:rPr>
          <w:i/>
        </w:rPr>
      </w:pPr>
    </w:p>
    <w:p w:rsidR="005F3869" w:rsidP="00D605A3">
      <w:pPr>
        <w:spacing w:after="0" w:line="240" w:lineRule="auto"/>
      </w:pPr>
      <w:r>
        <w:t>So much p</w:t>
      </w:r>
      <w:r w:rsidR="00E12EC6">
        <w:t xml:space="preserve">rogress </w:t>
      </w:r>
      <w:r w:rsidR="005E2CCA">
        <w:t xml:space="preserve">on process </w:t>
      </w:r>
      <w:r w:rsidR="00E12EC6">
        <w:t>has been made</w:t>
      </w:r>
      <w:r w:rsidRPr="007A078D" w:rsidR="007A078D">
        <w:t xml:space="preserve"> </w:t>
      </w:r>
      <w:r w:rsidR="007A078D">
        <w:t>under my friend</w:t>
      </w:r>
      <w:r w:rsidR="00A96895">
        <w:t>,</w:t>
      </w:r>
      <w:r w:rsidR="007A078D">
        <w:t xml:space="preserve"> Chairman Pai</w:t>
      </w:r>
      <w:r w:rsidR="00E12EC6">
        <w:t xml:space="preserve">, but </w:t>
      </w:r>
      <w:r>
        <w:t>our work</w:t>
      </w:r>
      <w:r w:rsidR="005E2CCA">
        <w:t xml:space="preserve"> </w:t>
      </w:r>
      <w:r w:rsidR="008B1E2F">
        <w:t>remains</w:t>
      </w:r>
      <w:r w:rsidR="00E12EC6">
        <w:t xml:space="preserve">. </w:t>
      </w:r>
      <w:r w:rsidR="006F1DB8">
        <w:t xml:space="preserve"> </w:t>
      </w:r>
      <w:r>
        <w:t xml:space="preserve">Let’s accept a certain reality: Commission process reform is </w:t>
      </w:r>
      <w:r w:rsidR="00327225">
        <w:t xml:space="preserve">neither </w:t>
      </w:r>
      <w:r>
        <w:t xml:space="preserve">splashy </w:t>
      </w:r>
      <w:r w:rsidR="004727A0">
        <w:t>n</w:t>
      </w:r>
      <w:r>
        <w:t xml:space="preserve">or </w:t>
      </w:r>
      <w:r w:rsidR="004727A0">
        <w:t xml:space="preserve">does it </w:t>
      </w:r>
      <w:r w:rsidR="00157743">
        <w:t xml:space="preserve">generate huge headlines.  Instead, </w:t>
      </w:r>
      <w:r w:rsidR="006F1DB8">
        <w:t>work</w:t>
      </w:r>
      <w:r w:rsidR="004727A0">
        <w:t>ing</w:t>
      </w:r>
      <w:r w:rsidR="006F1DB8">
        <w:t xml:space="preserve"> on </w:t>
      </w:r>
      <w:r w:rsidR="00157743">
        <w:t xml:space="preserve">the nitty-gritty, nuts and bolts of the internal organization </w:t>
      </w:r>
      <w:r w:rsidR="006F1DB8">
        <w:t xml:space="preserve">allows for fundamental reform elsewhere.  </w:t>
      </w:r>
      <w:r w:rsidR="005E2958">
        <w:t>For the agency to accomplish the big</w:t>
      </w:r>
      <w:r w:rsidR="003A3614">
        <w:t>-</w:t>
      </w:r>
      <w:r w:rsidR="005E2958">
        <w:t xml:space="preserve">ticket items, it must have a process that is efficient and one that is respected internally and externally. </w:t>
      </w:r>
      <w:r w:rsidR="00327225">
        <w:t xml:space="preserve"> Otherwise, the Commission leaves itself open for both process complaints and substantive objections. </w:t>
      </w:r>
      <w:r w:rsidR="00EA5A80">
        <w:t xml:space="preserve"> Additionally, it should</w:t>
      </w:r>
      <w:r w:rsidR="00E35140">
        <w:t xml:space="preserve"> be</w:t>
      </w:r>
      <w:r w:rsidR="00EA5A80">
        <w:t xml:space="preserve"> acknowledge</w:t>
      </w:r>
      <w:r w:rsidR="003A3614">
        <w:t>d</w:t>
      </w:r>
      <w:r w:rsidR="00EA5A80">
        <w:t xml:space="preserve"> that critiques </w:t>
      </w:r>
      <w:r w:rsidR="00A34129">
        <w:t xml:space="preserve">of current procedures </w:t>
      </w:r>
      <w:r w:rsidR="00EA5A80">
        <w:t xml:space="preserve">and suggestions for </w:t>
      </w:r>
      <w:r w:rsidR="00A34129">
        <w:t xml:space="preserve">improving them </w:t>
      </w:r>
      <w:r w:rsidR="00C160CD">
        <w:t xml:space="preserve">are not an indictment of current Commission staff. </w:t>
      </w:r>
      <w:r w:rsidR="00922889">
        <w:t xml:space="preserve"> </w:t>
      </w:r>
      <w:r w:rsidR="005B717C">
        <w:t>In general, we</w:t>
      </w:r>
      <w:r w:rsidR="00C160CD">
        <w:t xml:space="preserve"> have very well</w:t>
      </w:r>
      <w:r w:rsidR="003A3614">
        <w:t>-</w:t>
      </w:r>
      <w:r w:rsidR="00C160CD">
        <w:t xml:space="preserve">meaning staff that </w:t>
      </w:r>
      <w:r w:rsidR="00922889">
        <w:t xml:space="preserve">work </w:t>
      </w:r>
      <w:r w:rsidR="00E65674">
        <w:t xml:space="preserve">exceptionally </w:t>
      </w:r>
      <w:r w:rsidR="00922889">
        <w:t xml:space="preserve">hard trying to effectuate the ideas and measures of Commissioners under the processes established or </w:t>
      </w:r>
      <w:r w:rsidR="00910FCB">
        <w:t>ignored</w:t>
      </w:r>
      <w:r w:rsidR="00922889">
        <w:t xml:space="preserve"> </w:t>
      </w:r>
      <w:r w:rsidR="00910FCB">
        <w:t xml:space="preserve">by prior </w:t>
      </w:r>
      <w:r w:rsidR="00C34781">
        <w:t>Commissions</w:t>
      </w:r>
      <w:r w:rsidR="00910FCB">
        <w:t xml:space="preserve">. </w:t>
      </w:r>
      <w:r w:rsidR="00924166">
        <w:t xml:space="preserve"> Any process failures must rest at the feet of Commissioners. </w:t>
      </w:r>
    </w:p>
    <w:p w:rsidR="005F3869" w:rsidP="00D605A3">
      <w:pPr>
        <w:spacing w:after="0" w:line="240" w:lineRule="auto"/>
      </w:pPr>
    </w:p>
    <w:p w:rsidR="00826CEA" w:rsidP="005B0A8F">
      <w:pPr>
        <w:spacing w:after="0" w:line="240" w:lineRule="auto"/>
      </w:pPr>
      <w:r>
        <w:t xml:space="preserve">So where do we go from here?  </w:t>
      </w:r>
      <w:r w:rsidR="007A078D">
        <w:t>As many of you know, I have writt</w:t>
      </w:r>
      <w:r w:rsidR="000B65CC">
        <w:t>en several blogs, speeches</w:t>
      </w:r>
      <w:r w:rsidR="008B1E2F">
        <w:t>,</w:t>
      </w:r>
      <w:r w:rsidR="000B65CC">
        <w:t xml:space="preserve"> and s</w:t>
      </w:r>
      <w:r w:rsidR="007A078D">
        <w:t xml:space="preserve">tatements about possible process improvements.  Many of these are still ripe for action.  </w:t>
      </w:r>
      <w:r w:rsidR="00C50253">
        <w:t xml:space="preserve">At last count, I have approximately 50 ideas – both old and new – that I plan to discuss with the Chairman.  </w:t>
      </w:r>
      <w:r w:rsidR="009C5F60">
        <w:t xml:space="preserve">No need </w:t>
      </w:r>
      <w:r w:rsidR="005E2958">
        <w:t xml:space="preserve">for anyone here </w:t>
      </w:r>
      <w:r w:rsidR="009C5F60">
        <w:t xml:space="preserve">to </w:t>
      </w:r>
      <w:r w:rsidR="007751F4">
        <w:t xml:space="preserve">run </w:t>
      </w:r>
      <w:r w:rsidR="00122A8D">
        <w:t>for</w:t>
      </w:r>
      <w:r w:rsidR="007751F4">
        <w:t xml:space="preserve"> the doors</w:t>
      </w:r>
      <w:r w:rsidR="009C5F60">
        <w:t>; I am only going to highlight some of th</w:t>
      </w:r>
      <w:r w:rsidR="0080103E">
        <w:t>e</w:t>
      </w:r>
      <w:r w:rsidR="008B1E2F">
        <w:t>s</w:t>
      </w:r>
      <w:r w:rsidR="009C5F60">
        <w:t>e</w:t>
      </w:r>
      <w:r w:rsidR="00F23E56">
        <w:t xml:space="preserve"> </w:t>
      </w:r>
      <w:r w:rsidR="009C5F60">
        <w:t>ideas today</w:t>
      </w:r>
      <w:r w:rsidR="00C055C9">
        <w:t xml:space="preserve">.  </w:t>
      </w:r>
    </w:p>
    <w:p w:rsidR="005B0A8F" w:rsidP="005B0A8F">
      <w:pPr>
        <w:pStyle w:val="ListParagraph"/>
        <w:spacing w:after="0"/>
      </w:pPr>
    </w:p>
    <w:p w:rsidR="00BD265D" w:rsidP="008E504F">
      <w:pPr>
        <w:pStyle w:val="ListParagraph"/>
        <w:numPr>
          <w:ilvl w:val="0"/>
          <w:numId w:val="10"/>
        </w:numPr>
        <w:spacing w:after="0"/>
      </w:pPr>
      <w:r>
        <w:t xml:space="preserve">Codify Commission Procedures </w:t>
      </w:r>
    </w:p>
    <w:p w:rsidR="00A30AE8" w:rsidP="00A30AE8">
      <w:pPr>
        <w:spacing w:after="0"/>
      </w:pPr>
    </w:p>
    <w:p w:rsidR="001C1F20" w:rsidP="00A30AE8">
      <w:pPr>
        <w:spacing w:after="0" w:line="240" w:lineRule="auto"/>
      </w:pPr>
      <w:r>
        <w:t xml:space="preserve">First and foremost, the Commission must establish a more formal structure for our procedures.  Most of you would probably be shocked to learn that few of our internal workings are written down anywhere.  They are merely </w:t>
      </w:r>
      <w:r w:rsidR="006436EB">
        <w:t>passed</w:t>
      </w:r>
      <w:r>
        <w:t xml:space="preserve"> </w:t>
      </w:r>
      <w:r w:rsidR="00A44AE9">
        <w:t xml:space="preserve">down </w:t>
      </w:r>
      <w:r>
        <w:t xml:space="preserve">through the years </w:t>
      </w:r>
      <w:r w:rsidR="00B16AE5">
        <w:t xml:space="preserve">under the guise of </w:t>
      </w:r>
      <w:r w:rsidR="008B1E2F">
        <w:t>“</w:t>
      </w:r>
      <w:r w:rsidR="007A5F09">
        <w:t xml:space="preserve">how </w:t>
      </w:r>
      <w:r>
        <w:t>we’ve always done it.</w:t>
      </w:r>
      <w:r w:rsidR="008B1E2F">
        <w:t>”</w:t>
      </w:r>
      <w:r>
        <w:t xml:space="preserve">  How does one disagree with a current practice when the practice doesn’t technically exist?  I ran into this exact problem when objecting to staff </w:t>
      </w:r>
      <w:r w:rsidR="0080361D">
        <w:t>mak</w:t>
      </w:r>
      <w:r w:rsidR="008B1E2F">
        <w:t>ing</w:t>
      </w:r>
      <w:r>
        <w:t xml:space="preserve"> </w:t>
      </w:r>
      <w:r w:rsidR="00A44AE9">
        <w:t xml:space="preserve">substantive </w:t>
      </w:r>
      <w:r>
        <w:t xml:space="preserve">revisions after an item’s adoption.  </w:t>
      </w:r>
    </w:p>
    <w:p w:rsidR="001C1F20" w:rsidP="00A30AE8">
      <w:pPr>
        <w:spacing w:after="0" w:line="240" w:lineRule="auto"/>
      </w:pPr>
    </w:p>
    <w:p w:rsidR="001C1F20" w:rsidP="00A30AE8">
      <w:pPr>
        <w:spacing w:after="0" w:line="240" w:lineRule="auto"/>
      </w:pPr>
      <w:r>
        <w:t xml:space="preserve">By </w:t>
      </w:r>
      <w:r w:rsidR="00915F51">
        <w:t xml:space="preserve">my </w:t>
      </w:r>
      <w:r>
        <w:t xml:space="preserve">rough estimates — because that’s all we have — less than </w:t>
      </w:r>
      <w:r w:rsidR="00A44AE9">
        <w:t>25</w:t>
      </w:r>
      <w:r>
        <w:t xml:space="preserve"> percent of our working </w:t>
      </w:r>
      <w:r w:rsidR="00A44AE9">
        <w:t>procedures are</w:t>
      </w:r>
      <w:r>
        <w:t xml:space="preserve"> in our current rules.  Separate from that, each new Commissioner is given a </w:t>
      </w:r>
      <w:r>
        <w:t>piddly</w:t>
      </w:r>
      <w:r>
        <w:t xml:space="preserve"> little three-ring binder containing outdated loose</w:t>
      </w:r>
      <w:r w:rsidR="00A44AE9">
        <w:t>-</w:t>
      </w:r>
      <w:r>
        <w:t>leaf pages that provide</w:t>
      </w:r>
      <w:r w:rsidR="00A44AE9">
        <w:t>,</w:t>
      </w:r>
      <w:r>
        <w:t xml:space="preserve"> at best</w:t>
      </w:r>
      <w:r w:rsidR="00A44AE9">
        <w:t>,</w:t>
      </w:r>
      <w:r>
        <w:t xml:space="preserve"> guidance on what may or may </w:t>
      </w:r>
      <w:r w:rsidR="00A44AE9">
        <w:t xml:space="preserve">not </w:t>
      </w:r>
      <w:r>
        <w:t>happen at certain junctures in Commission activities.  And that is it.  There is no extensive handbook or manual that can be referenced if procedural questions arise.  How can that be?  As an agency tied to the Administrative Procedure Act, how can our procedures be less formalized than those of a middle school PTA?</w:t>
      </w:r>
      <w:r w:rsidR="00EA2EAD">
        <w:t xml:space="preserve">  Consider the fact that we have essentially adopted </w:t>
      </w:r>
      <w:r w:rsidR="00C34781">
        <w:t xml:space="preserve">most of </w:t>
      </w:r>
      <w:r w:rsidR="00EA2EAD">
        <w:t xml:space="preserve">my proposal to fix the delegated authority problem, </w:t>
      </w:r>
      <w:r w:rsidR="007A5F09">
        <w:t>that is</w:t>
      </w:r>
      <w:r w:rsidR="008B1E2F">
        <w:t xml:space="preserve"> if two or more Commissioners have concerns and want to consider the item, they </w:t>
      </w:r>
      <w:r w:rsidR="00B06AB5">
        <w:t>can</w:t>
      </w:r>
      <w:r w:rsidR="008B1E2F">
        <w:t xml:space="preserve"> bring an item to a full Commission vote under a specific deadline.  Alas, </w:t>
      </w:r>
      <w:r w:rsidR="00EA2EAD">
        <w:t>th</w:t>
      </w:r>
      <w:r w:rsidR="008B1E2F">
        <w:t>is</w:t>
      </w:r>
      <w:r w:rsidR="00EA2EAD">
        <w:t xml:space="preserve"> new “policy” exists only in informal email declarations.</w:t>
      </w:r>
      <w:r w:rsidR="00A06EAE">
        <w:t xml:space="preserve">  </w:t>
      </w:r>
      <w:r w:rsidR="00EA2EAD">
        <w:t xml:space="preserve">Why </w:t>
      </w:r>
      <w:r w:rsidR="0080361D">
        <w:t xml:space="preserve">can’t </w:t>
      </w:r>
      <w:r w:rsidR="00EA2EAD">
        <w:t xml:space="preserve">this </w:t>
      </w:r>
      <w:r w:rsidR="0080361D">
        <w:t xml:space="preserve">be </w:t>
      </w:r>
      <w:r w:rsidR="00EA2EAD">
        <w:t>formalized?</w:t>
      </w:r>
    </w:p>
    <w:p w:rsidR="001C1F20" w:rsidP="001C1F20">
      <w:pPr>
        <w:spacing w:after="0" w:line="240" w:lineRule="auto"/>
      </w:pPr>
    </w:p>
    <w:p w:rsidR="001C1F20" w:rsidP="008E504F">
      <w:pPr>
        <w:spacing w:after="0" w:line="240" w:lineRule="auto"/>
      </w:pPr>
      <w:r>
        <w:t xml:space="preserve">The solution here is rather </w:t>
      </w:r>
      <w:r w:rsidR="0018316C">
        <w:t>simple but</w:t>
      </w:r>
      <w:r>
        <w:t xml:space="preserve"> would be quite powerful.  We should direct staff to start from the top and put our working practices down in written word.  Then, we should incorporate this document into the Code of Federal Regulations for the entire world to see.  That doesn’t prevent changes or amendments, which we make all the time via the adoption of a Commission item. </w:t>
      </w:r>
      <w:r w:rsidR="00C344C1">
        <w:t xml:space="preserve"> It just puts our procedures on a solid foundation. </w:t>
      </w:r>
    </w:p>
    <w:p w:rsidR="008E504F" w:rsidP="008E504F">
      <w:pPr>
        <w:spacing w:after="0" w:line="240" w:lineRule="auto"/>
      </w:pPr>
    </w:p>
    <w:p w:rsidR="004669B2" w:rsidP="00B607EB">
      <w:pPr>
        <w:pStyle w:val="ListParagraph"/>
        <w:numPr>
          <w:ilvl w:val="0"/>
          <w:numId w:val="10"/>
        </w:numPr>
        <w:spacing w:after="0" w:line="240" w:lineRule="auto"/>
      </w:pPr>
      <w:r>
        <w:t>Formalize</w:t>
      </w:r>
      <w:r w:rsidR="002F64B3">
        <w:t xml:space="preserve"> Timeframes</w:t>
      </w:r>
      <w:r w:rsidR="00E4658B">
        <w:t xml:space="preserve"> &amp; Timelines</w:t>
      </w:r>
    </w:p>
    <w:p w:rsidR="008E504F" w:rsidP="00B607EB">
      <w:pPr>
        <w:spacing w:after="0" w:line="240" w:lineRule="auto"/>
      </w:pPr>
    </w:p>
    <w:p w:rsidR="00455233" w:rsidP="00B607EB">
      <w:pPr>
        <w:spacing w:after="0" w:line="240" w:lineRule="auto"/>
      </w:pPr>
      <w:r>
        <w:t xml:space="preserve">Since I have been in my position, I have noticed that Commission proceedings can get stuck in regulatory quicksand.  The Commission should take the necessary steps to ensure that all work is concluded </w:t>
      </w:r>
      <w:r w:rsidR="0018316C">
        <w:t>expeditiously,</w:t>
      </w:r>
      <w:r w:rsidR="00907D87">
        <w:t xml:space="preserve"> and that the public has an opportunity to challenge a decision promptly</w:t>
      </w:r>
      <w:r>
        <w:t xml:space="preserve">.  </w:t>
      </w:r>
      <w:r w:rsidR="00915F51">
        <w:t>A</w:t>
      </w:r>
      <w:r>
        <w:t>ppropriate timeframes should be placed on all FCC proceedings,</w:t>
      </w:r>
      <w:r w:rsidRPr="0096486C">
        <w:t xml:space="preserve"> </w:t>
      </w:r>
      <w:r>
        <w:t>the 180-day merger shot clock should not be aspirational,</w:t>
      </w:r>
      <w:r w:rsidRPr="0096486C">
        <w:t xml:space="preserve"> </w:t>
      </w:r>
      <w:r>
        <w:t>and clear deadlines need to be placed on Team Telecom’s review of the foreign ownership implications of certain applications before the FCC.</w:t>
      </w:r>
      <w:r w:rsidR="00B07D7C">
        <w:t xml:space="preserve">  Consider that a reconsideration petition can sit dormant for upwards of a decade without anyone blinking an eye or getting a court to grant a mandamus petition.  That’s nonsense.  Let’s establish appropriate deadlines and timeframes for</w:t>
      </w:r>
      <w:r w:rsidR="00755BFC">
        <w:t xml:space="preserve"> every </w:t>
      </w:r>
      <w:r w:rsidR="00EF6D32">
        <w:t>step of Commission</w:t>
      </w:r>
      <w:r w:rsidR="00755BFC">
        <w:t xml:space="preserve"> </w:t>
      </w:r>
      <w:r w:rsidR="00EF6D32">
        <w:t>proceedings.</w:t>
      </w:r>
    </w:p>
    <w:p w:rsidR="00EF6D32" w:rsidP="00B607EB">
      <w:pPr>
        <w:spacing w:after="0" w:line="240" w:lineRule="auto"/>
      </w:pPr>
    </w:p>
    <w:p w:rsidR="00EF6D32" w:rsidP="00B607EB">
      <w:pPr>
        <w:spacing w:after="0" w:line="240" w:lineRule="auto"/>
      </w:pPr>
      <w:r>
        <w:t xml:space="preserve">I do not find this to be a radical idea </w:t>
      </w:r>
      <w:r w:rsidR="00A06EAE">
        <w:t xml:space="preserve">by </w:t>
      </w:r>
      <w:r>
        <w:t>any stretch of the imagination.  In fact</w:t>
      </w:r>
      <w:r w:rsidR="006524FA">
        <w:t xml:space="preserve">, the </w:t>
      </w:r>
      <w:r>
        <w:t>House of Representatives has</w:t>
      </w:r>
      <w:r w:rsidR="005D7D3E">
        <w:t>,</w:t>
      </w:r>
      <w:r>
        <w:t xml:space="preserve"> at least</w:t>
      </w:r>
      <w:r w:rsidR="005D7D3E">
        <w:t>,</w:t>
      </w:r>
      <w:r>
        <w:t xml:space="preserve"> on two occasions passed legislation</w:t>
      </w:r>
      <w:r w:rsidR="006524FA">
        <w:t xml:space="preserve"> requiring exactly this. </w:t>
      </w:r>
      <w:r w:rsidR="00A06EAE">
        <w:t xml:space="preserve"> </w:t>
      </w:r>
      <w:r w:rsidR="006524FA">
        <w:t xml:space="preserve">Combine this with Chairman </w:t>
      </w:r>
      <w:r w:rsidR="006524FA">
        <w:t>Pai</w:t>
      </w:r>
      <w:r w:rsidR="00897E9D">
        <w:t>’s</w:t>
      </w:r>
      <w:r w:rsidR="00897E9D">
        <w:t xml:space="preserve"> </w:t>
      </w:r>
      <w:r w:rsidR="006524FA">
        <w:t xml:space="preserve">repeated support for these bills and we have something that should move quite easily. </w:t>
      </w:r>
      <w:r w:rsidR="00897E9D">
        <w:t xml:space="preserve"> </w:t>
      </w:r>
      <w:r w:rsidR="00830458">
        <w:t xml:space="preserve">I am sure someone will scream </w:t>
      </w:r>
      <w:r w:rsidR="004E0317">
        <w:t xml:space="preserve">something </w:t>
      </w:r>
      <w:r w:rsidR="00830458">
        <w:t xml:space="preserve">about </w:t>
      </w:r>
      <w:r w:rsidR="004E0317">
        <w:t xml:space="preserve">potential </w:t>
      </w:r>
      <w:r w:rsidR="00830458">
        <w:t>downsides</w:t>
      </w:r>
      <w:r w:rsidR="00915F51">
        <w:t>, b</w:t>
      </w:r>
      <w:r w:rsidR="00A06EAE">
        <w:t>ut</w:t>
      </w:r>
      <w:r w:rsidR="00915F51">
        <w:t xml:space="preserve"> </w:t>
      </w:r>
      <w:r w:rsidR="004E0317">
        <w:t xml:space="preserve">I honestly cannot think of any. </w:t>
      </w:r>
    </w:p>
    <w:p w:rsidR="008E504F" w:rsidP="008E504F">
      <w:pPr>
        <w:spacing w:after="0"/>
      </w:pPr>
    </w:p>
    <w:p w:rsidR="00347008" w:rsidP="00E52843">
      <w:pPr>
        <w:pStyle w:val="ListParagraph"/>
        <w:numPr>
          <w:ilvl w:val="0"/>
          <w:numId w:val="10"/>
        </w:numPr>
        <w:spacing w:after="0"/>
      </w:pPr>
      <w:r>
        <w:t>Eliminate the Administrative Law Judge Process</w:t>
      </w:r>
    </w:p>
    <w:p w:rsidR="00E52843" w:rsidP="00E52843">
      <w:pPr>
        <w:pStyle w:val="ListParagraph"/>
        <w:spacing w:after="0"/>
      </w:pPr>
    </w:p>
    <w:p w:rsidR="00693D2F" w:rsidP="008B1E2F">
      <w:pPr>
        <w:spacing w:after="0" w:line="240" w:lineRule="auto"/>
      </w:pPr>
      <w:r>
        <w:t>The</w:t>
      </w:r>
      <w:r w:rsidR="00E4658B">
        <w:t xml:space="preserve"> process for when issues are sent to </w:t>
      </w:r>
      <w:r w:rsidR="0003746E">
        <w:t xml:space="preserve">administrative </w:t>
      </w:r>
      <w:r w:rsidR="00E4658B">
        <w:t xml:space="preserve">hearing must be revised and the role of the </w:t>
      </w:r>
      <w:r w:rsidR="00A06EAE">
        <w:t>Administrative Law Judge (</w:t>
      </w:r>
      <w:r w:rsidR="00E4658B">
        <w:t>ALJ</w:t>
      </w:r>
      <w:r w:rsidR="00A06EAE">
        <w:t>)</w:t>
      </w:r>
      <w:r w:rsidR="00E4658B">
        <w:t xml:space="preserve"> should be eliminated.  To the extent that fact</w:t>
      </w:r>
      <w:r w:rsidR="00B21966">
        <w:t>-</w:t>
      </w:r>
      <w:r w:rsidR="00E4658B">
        <w:t>finding missions are needed, paper hearings can be conducted to obtain the requisite information.</w:t>
      </w:r>
      <w:r>
        <w:rPr>
          <w:rStyle w:val="FootnoteReference"/>
        </w:rPr>
        <w:footnoteReference w:id="3"/>
      </w:r>
      <w:r w:rsidR="00E4658B">
        <w:t xml:space="preserve">  We should not continue the practice of </w:t>
      </w:r>
      <w:r w:rsidR="00D11FED">
        <w:t>prolong</w:t>
      </w:r>
      <w:r w:rsidR="007A5F09">
        <w:t xml:space="preserve">ed </w:t>
      </w:r>
      <w:r w:rsidR="00E4658B">
        <w:t>proceedings to determine that a hearing is needed</w:t>
      </w:r>
      <w:r w:rsidR="007A5F09">
        <w:t>, to then</w:t>
      </w:r>
      <w:r w:rsidR="00350444">
        <w:t xml:space="preserve"> </w:t>
      </w:r>
      <w:r w:rsidR="00E4658B">
        <w:t>transfer</w:t>
      </w:r>
      <w:r w:rsidR="00350444">
        <w:t xml:space="preserve"> the issue</w:t>
      </w:r>
      <w:r w:rsidR="00E4658B">
        <w:t xml:space="preserve"> to an ALJ for a </w:t>
      </w:r>
      <w:r w:rsidR="00D11FED">
        <w:t>drawn</w:t>
      </w:r>
      <w:r w:rsidR="004B08B2">
        <w:t>-</w:t>
      </w:r>
      <w:r w:rsidR="00D11FED">
        <w:t xml:space="preserve">out </w:t>
      </w:r>
      <w:r w:rsidR="00E4658B">
        <w:t>hearing, just for the matter to come back to be fully considered yet again and voted on by the Commission.  What a waste of time and resources.</w:t>
      </w:r>
      <w:r w:rsidR="004E2B17">
        <w:t xml:space="preserve">  </w:t>
      </w:r>
      <w:r w:rsidR="00ED4777">
        <w:t>We know from recent items</w:t>
      </w:r>
      <w:r>
        <w:t>,</w:t>
      </w:r>
      <w:r w:rsidR="00A06EAE">
        <w:t xml:space="preserve"> where</w:t>
      </w:r>
      <w:r w:rsidR="00ED4777">
        <w:t xml:space="preserve"> the Commission has overturn</w:t>
      </w:r>
      <w:r w:rsidR="00A06EAE">
        <w:t>ed the ALJ</w:t>
      </w:r>
      <w:r>
        <w:t>,</w:t>
      </w:r>
      <w:r w:rsidR="00ED4777">
        <w:t xml:space="preserve"> that </w:t>
      </w:r>
      <w:r w:rsidR="00BD0642">
        <w:t xml:space="preserve">some </w:t>
      </w:r>
      <w:r w:rsidR="00A06EAE">
        <w:t xml:space="preserve">of these </w:t>
      </w:r>
      <w:r w:rsidR="00ED4777">
        <w:t xml:space="preserve">proceedings </w:t>
      </w:r>
      <w:r w:rsidR="00BD0642">
        <w:t>go on for many years</w:t>
      </w:r>
      <w:r w:rsidR="0003746E">
        <w:t>,</w:t>
      </w:r>
      <w:r>
        <w:rPr>
          <w:rStyle w:val="FootnoteReference"/>
        </w:rPr>
        <w:footnoteReference w:id="4"/>
      </w:r>
      <w:r w:rsidR="008C1195">
        <w:t xml:space="preserve"> and I am </w:t>
      </w:r>
      <w:r w:rsidR="008C1195">
        <w:t>aware of cases that have been pending for</w:t>
      </w:r>
      <w:r w:rsidR="0003746E">
        <w:t xml:space="preserve"> a decade</w:t>
      </w:r>
      <w:r w:rsidR="008C1195">
        <w:t xml:space="preserve"> or more</w:t>
      </w:r>
      <w:r w:rsidR="0003746E">
        <w:t>.</w:t>
      </w:r>
      <w:r>
        <w:rPr>
          <w:rStyle w:val="FootnoteReference"/>
        </w:rPr>
        <w:footnoteReference w:id="5"/>
      </w:r>
      <w:r w:rsidR="0003746E">
        <w:t xml:space="preserve">  </w:t>
      </w:r>
      <w:r w:rsidR="004B08B2">
        <w:t xml:space="preserve"> </w:t>
      </w:r>
      <w:r w:rsidRPr="00F77AEB" w:rsidR="004B08B2">
        <w:t xml:space="preserve">For instance, one proceeding involving Media Bureau applications, which were filed in 1999 and set for hearing in 2003, </w:t>
      </w:r>
      <w:r w:rsidRPr="00F77AEB" w:rsidR="004B08B2">
        <w:t>still remains</w:t>
      </w:r>
      <w:r w:rsidRPr="00F77AEB" w:rsidR="004B08B2">
        <w:t>.</w:t>
      </w:r>
      <w:r>
        <w:rPr>
          <w:rStyle w:val="FootnoteReference"/>
        </w:rPr>
        <w:footnoteReference w:id="6"/>
      </w:r>
      <w:r w:rsidR="004B08B2">
        <w:t xml:space="preserve">  </w:t>
      </w:r>
      <w:r w:rsidR="0003746E">
        <w:t xml:space="preserve">Completely </w:t>
      </w:r>
      <w:bookmarkStart w:id="2" w:name="_Hlk517782980"/>
      <w:r w:rsidR="0003746E">
        <w:t xml:space="preserve">unacceptable.  </w:t>
      </w:r>
      <w:bookmarkEnd w:id="2"/>
      <w:r w:rsidRPr="00FF1110" w:rsidR="00FF1110">
        <w:t xml:space="preserve"> </w:t>
      </w:r>
    </w:p>
    <w:p w:rsidR="00693D2F" w:rsidP="008B1E2F">
      <w:pPr>
        <w:spacing w:after="0" w:line="240" w:lineRule="auto"/>
      </w:pPr>
    </w:p>
    <w:p w:rsidR="008B1E2F" w:rsidP="008B1E2F">
      <w:pPr>
        <w:spacing w:after="0" w:line="240" w:lineRule="auto"/>
      </w:pPr>
      <w:r>
        <w:t>And, beyond waste</w:t>
      </w:r>
      <w:r w:rsidR="00350444">
        <w:t>ful</w:t>
      </w:r>
      <w:r>
        <w:t xml:space="preserve">, </w:t>
      </w:r>
      <w:r w:rsidR="00065416">
        <w:t>devious</w:t>
      </w:r>
      <w:r w:rsidR="00B06AB5">
        <w:t xml:space="preserve"> </w:t>
      </w:r>
      <w:r>
        <w:t>Chairmen can</w:t>
      </w:r>
      <w:r w:rsidR="00616050">
        <w:t xml:space="preserve"> unilaterally</w:t>
      </w:r>
      <w:r>
        <w:t xml:space="preserve"> </w:t>
      </w:r>
      <w:r w:rsidR="007A5F09">
        <w:t xml:space="preserve">use the threat of </w:t>
      </w:r>
      <w:r>
        <w:t xml:space="preserve">the ALJ to </w:t>
      </w:r>
      <w:r w:rsidR="007A5F09">
        <w:t xml:space="preserve">kill </w:t>
      </w:r>
      <w:r>
        <w:t>proposed mergers</w:t>
      </w:r>
      <w:r w:rsidR="00616050">
        <w:t>.  Parties would rather abandon a deal than experience endless</w:t>
      </w:r>
      <w:r>
        <w:t xml:space="preserve"> delay</w:t>
      </w:r>
      <w:r w:rsidR="00616050">
        <w:t>s</w:t>
      </w:r>
      <w:r w:rsidR="00D11FED">
        <w:t xml:space="preserve"> and the </w:t>
      </w:r>
      <w:r w:rsidR="00616050">
        <w:t>possibility</w:t>
      </w:r>
      <w:r w:rsidR="00D11FED">
        <w:t xml:space="preserve"> of </w:t>
      </w:r>
      <w:r w:rsidR="005505D6">
        <w:t>having to separately battle</w:t>
      </w:r>
      <w:r w:rsidR="00D11FED">
        <w:t xml:space="preserve"> both </w:t>
      </w:r>
      <w:r w:rsidR="00BA19AF">
        <w:t xml:space="preserve">the </w:t>
      </w:r>
      <w:r w:rsidR="00D11FED">
        <w:t>DOJ and the FCC</w:t>
      </w:r>
      <w:r>
        <w:t xml:space="preserve">.  </w:t>
      </w:r>
      <w:r w:rsidR="00970748">
        <w:t xml:space="preserve">I </w:t>
      </w:r>
      <w:r>
        <w:t xml:space="preserve">saw </w:t>
      </w:r>
      <w:r w:rsidR="00130891">
        <w:t xml:space="preserve">this </w:t>
      </w:r>
      <w:r>
        <w:t xml:space="preserve">very </w:t>
      </w:r>
      <w:r w:rsidR="003E251F">
        <w:t xml:space="preserve">threat in </w:t>
      </w:r>
      <w:r>
        <w:t xml:space="preserve">action </w:t>
      </w:r>
      <w:r w:rsidR="003E251F">
        <w:t>when</w:t>
      </w:r>
      <w:r>
        <w:t xml:space="preserve"> </w:t>
      </w:r>
      <w:r w:rsidR="0080103E">
        <w:t>former</w:t>
      </w:r>
      <w:r w:rsidR="00945A8B">
        <w:t xml:space="preserve"> </w:t>
      </w:r>
      <w:r>
        <w:t xml:space="preserve">Chairman Wheeler </w:t>
      </w:r>
      <w:r w:rsidR="00945A8B">
        <w:t>end</w:t>
      </w:r>
      <w:r w:rsidR="003E251F">
        <w:t>ed</w:t>
      </w:r>
      <w:r w:rsidR="00945A8B">
        <w:t xml:space="preserve"> </w:t>
      </w:r>
      <w:r>
        <w:t xml:space="preserve">the </w:t>
      </w:r>
      <w:r w:rsidR="00350444">
        <w:t xml:space="preserve">proposed </w:t>
      </w:r>
      <w:r>
        <w:t xml:space="preserve">Comcast-Time Warner </w:t>
      </w:r>
      <w:r w:rsidR="00350444">
        <w:t xml:space="preserve">Cable </w:t>
      </w:r>
      <w:r>
        <w:t>merger</w:t>
      </w:r>
      <w:r w:rsidR="00945A8B">
        <w:t xml:space="preserve"> </w:t>
      </w:r>
      <w:r w:rsidR="003E251F">
        <w:t>by</w:t>
      </w:r>
      <w:r w:rsidR="00945A8B">
        <w:t xml:space="preserve"> </w:t>
      </w:r>
      <w:r w:rsidR="00D11FED">
        <w:t>simpl</w:t>
      </w:r>
      <w:r w:rsidR="003E251F">
        <w:t>y</w:t>
      </w:r>
      <w:r w:rsidR="00D11FED">
        <w:t xml:space="preserve"> </w:t>
      </w:r>
      <w:r w:rsidR="003E251F">
        <w:t>informing the parties</w:t>
      </w:r>
      <w:r w:rsidR="00D11FED">
        <w:t xml:space="preserve"> that </w:t>
      </w:r>
      <w:r w:rsidR="00997D89">
        <w:t>it</w:t>
      </w:r>
      <w:r w:rsidR="00D11FED">
        <w:t xml:space="preserve"> would be designated for hearing</w:t>
      </w:r>
      <w:r>
        <w:t>.</w:t>
      </w:r>
      <w:r>
        <w:rPr>
          <w:rStyle w:val="FootnoteReference"/>
        </w:rPr>
        <w:footnoteReference w:id="7"/>
      </w:r>
      <w:r w:rsidR="00B21966">
        <w:t xml:space="preserve"> </w:t>
      </w:r>
      <w:r>
        <w:t xml:space="preserve"> </w:t>
      </w:r>
      <w:r w:rsidR="00B21966">
        <w:t>Actually</w:t>
      </w:r>
      <w:r w:rsidR="00D712DA">
        <w:t xml:space="preserve">, </w:t>
      </w:r>
      <w:r w:rsidR="005445CB">
        <w:t>I am not aware of anyone</w:t>
      </w:r>
      <w:r w:rsidRPr="00826BD3" w:rsidR="00826BD3">
        <w:t xml:space="preserve"> </w:t>
      </w:r>
      <w:r w:rsidR="00826BD3">
        <w:t>pursu</w:t>
      </w:r>
      <w:r w:rsidR="005445CB">
        <w:t>ing</w:t>
      </w:r>
      <w:r w:rsidR="00826BD3">
        <w:t xml:space="preserve"> a </w:t>
      </w:r>
      <w:r w:rsidR="00D712DA">
        <w:t>merger that was set for</w:t>
      </w:r>
      <w:r w:rsidR="00D05B6D">
        <w:t xml:space="preserve"> or </w:t>
      </w:r>
      <w:r w:rsidR="00027401">
        <w:t>threatened to go to</w:t>
      </w:r>
      <w:r w:rsidR="00D712DA">
        <w:t xml:space="preserve"> hearing.</w:t>
      </w:r>
    </w:p>
    <w:p w:rsidR="008B1E2F" w:rsidP="00E52843">
      <w:pPr>
        <w:spacing w:after="0" w:line="240" w:lineRule="auto"/>
      </w:pPr>
    </w:p>
    <w:p w:rsidR="00E4658B" w:rsidP="00E52843">
      <w:pPr>
        <w:spacing w:after="0" w:line="240" w:lineRule="auto"/>
      </w:pPr>
      <w:r>
        <w:t>Erasing the ALJ process, even if it takes legislation, will no</w:t>
      </w:r>
      <w:r w:rsidR="00D41691">
        <w:t>t</w:t>
      </w:r>
      <w:r>
        <w:t xml:space="preserve"> deny any individual due process</w:t>
      </w:r>
      <w:r w:rsidR="0080103E">
        <w:t>, generate added litigation risk,</w:t>
      </w:r>
      <w:r>
        <w:t xml:space="preserve"> </w:t>
      </w:r>
      <w:r w:rsidR="00D41691">
        <w:t>or</w:t>
      </w:r>
      <w:r>
        <w:t xml:space="preserve"> substantially increase the workload for Commissioners</w:t>
      </w:r>
      <w:r w:rsidR="00D41691">
        <w:t xml:space="preserve"> or staff</w:t>
      </w:r>
      <w:r>
        <w:t xml:space="preserve">.  </w:t>
      </w:r>
      <w:r w:rsidR="00B21966">
        <w:t>In fact, i</w:t>
      </w:r>
      <w:r w:rsidRPr="00B21966" w:rsidR="00B21966">
        <w:t>t is my understanding that</w:t>
      </w:r>
      <w:r w:rsidR="000546B7">
        <w:t>, out of the thousands of procee</w:t>
      </w:r>
      <w:bookmarkStart w:id="3" w:name="_GoBack"/>
      <w:bookmarkEnd w:id="3"/>
      <w:r w:rsidR="000546B7">
        <w:t>dings and applications that come before the Commission,</w:t>
      </w:r>
      <w:r w:rsidRPr="00B21966" w:rsidR="00B21966">
        <w:t xml:space="preserve"> the</w:t>
      </w:r>
      <w:r w:rsidR="000546B7">
        <w:t xml:space="preserve">re are </w:t>
      </w:r>
      <w:r w:rsidR="0080103E">
        <w:t xml:space="preserve">currently </w:t>
      </w:r>
      <w:r w:rsidR="000546B7">
        <w:t>only six active cases designated for hearing,</w:t>
      </w:r>
      <w:r>
        <w:rPr>
          <w:rStyle w:val="FootnoteReference"/>
        </w:rPr>
        <w:footnoteReference w:id="8"/>
      </w:r>
      <w:r w:rsidRPr="00B21966" w:rsidR="00B21966">
        <w:t xml:space="preserve"> </w:t>
      </w:r>
      <w:r w:rsidR="000546B7">
        <w:t>a</w:t>
      </w:r>
      <w:r w:rsidR="00130891">
        <w:t>nd t</w:t>
      </w:r>
      <w:r w:rsidR="00B21966">
        <w:t>here is no reason why paper hearings would not permit the same factual discovery</w:t>
      </w:r>
      <w:r w:rsidR="0080103E">
        <w:t xml:space="preserve"> in these instances</w:t>
      </w:r>
      <w:r w:rsidR="00B21966">
        <w:t xml:space="preserve">.  </w:t>
      </w:r>
      <w:r w:rsidR="008B1E2F">
        <w:t xml:space="preserve">On the contrary, in many cases it will provide </w:t>
      </w:r>
      <w:r w:rsidR="0080103E">
        <w:t xml:space="preserve">better </w:t>
      </w:r>
      <w:r w:rsidR="008B1E2F">
        <w:t xml:space="preserve">due process, by </w:t>
      </w:r>
      <w:r w:rsidR="00D11FED">
        <w:t xml:space="preserve">expediting </w:t>
      </w:r>
      <w:r w:rsidR="008B1E2F">
        <w:t>finality to an item</w:t>
      </w:r>
      <w:r w:rsidR="00B156F8">
        <w:t>,</w:t>
      </w:r>
      <w:r w:rsidR="008B1E2F">
        <w:t xml:space="preserve"> and </w:t>
      </w:r>
      <w:r w:rsidR="008B1E2F">
        <w:t>opening up</w:t>
      </w:r>
      <w:r w:rsidR="008B1E2F">
        <w:t xml:space="preserve"> the pathway for judicial review. </w:t>
      </w:r>
      <w:r w:rsidR="00350444">
        <w:t xml:space="preserve"> </w:t>
      </w:r>
      <w:r w:rsidR="004629E8">
        <w:t xml:space="preserve">  </w:t>
      </w:r>
    </w:p>
    <w:p w:rsidR="00B607EB" w:rsidP="00E52843">
      <w:pPr>
        <w:spacing w:after="0" w:line="240" w:lineRule="auto"/>
      </w:pPr>
    </w:p>
    <w:p w:rsidR="00C96552" w:rsidP="0073484B">
      <w:pPr>
        <w:pStyle w:val="ListParagraph"/>
        <w:numPr>
          <w:ilvl w:val="0"/>
          <w:numId w:val="10"/>
        </w:numPr>
        <w:spacing w:after="0" w:line="240" w:lineRule="auto"/>
      </w:pPr>
      <w:r>
        <w:t>Deregulatory</w:t>
      </w:r>
      <w:r w:rsidR="00DB7230">
        <w:t xml:space="preserve"> Presumption</w:t>
      </w:r>
    </w:p>
    <w:p w:rsidR="00D27BE8" w:rsidP="0086580B">
      <w:pPr>
        <w:spacing w:after="0" w:line="240" w:lineRule="auto"/>
      </w:pPr>
    </w:p>
    <w:p w:rsidR="007D58E8" w:rsidP="00BE4F94">
      <w:pPr>
        <w:spacing w:after="0" w:line="240" w:lineRule="auto"/>
      </w:pPr>
      <w:r>
        <w:t xml:space="preserve">In light of the vibrant competition in the </w:t>
      </w:r>
      <w:r w:rsidR="004E0317">
        <w:t>various sector</w:t>
      </w:r>
      <w:r w:rsidR="00556A27">
        <w:t>s</w:t>
      </w:r>
      <w:r w:rsidR="004E0317">
        <w:t xml:space="preserve"> of the communications </w:t>
      </w:r>
      <w:r>
        <w:t>marketplace, n</w:t>
      </w:r>
      <w:r w:rsidR="0045147C">
        <w:t xml:space="preserve">ot only should the Commission review all proceedings with a deregulatory eye, but it should also use </w:t>
      </w:r>
      <w:r w:rsidR="00957CA7">
        <w:t xml:space="preserve">available </w:t>
      </w:r>
      <w:r w:rsidR="0045147C">
        <w:t>tools, such as forbearance and mandatory reviews</w:t>
      </w:r>
      <w:r w:rsidR="00BA19AF">
        <w:t>,</w:t>
      </w:r>
      <w:r w:rsidR="0045147C">
        <w:t xml:space="preserve"> to eliminate unnecessary regulation.</w:t>
      </w:r>
      <w:r>
        <w:rPr>
          <w:rStyle w:val="FootnoteReference"/>
        </w:rPr>
        <w:footnoteReference w:id="9"/>
      </w:r>
      <w:r w:rsidR="00913492">
        <w:t xml:space="preserve">  </w:t>
      </w:r>
      <w:r w:rsidR="00723BA6">
        <w:t xml:space="preserve">This idea is aligned with </w:t>
      </w:r>
      <w:r w:rsidR="00A96895">
        <w:t>those</w:t>
      </w:r>
      <w:r w:rsidR="00723BA6">
        <w:t xml:space="preserve"> put forth by </w:t>
      </w:r>
      <w:r w:rsidR="00535C50">
        <w:t xml:space="preserve">the wise </w:t>
      </w:r>
      <w:r w:rsidR="00723BA6">
        <w:t>Randy May</w:t>
      </w:r>
      <w:r w:rsidR="00161847">
        <w:t>,</w:t>
      </w:r>
      <w:r w:rsidR="00723BA6">
        <w:t xml:space="preserve"> </w:t>
      </w:r>
      <w:r w:rsidR="00535C50">
        <w:t xml:space="preserve">who </w:t>
      </w:r>
      <w:r w:rsidR="0080103E">
        <w:t xml:space="preserve">has repeatedly </w:t>
      </w:r>
      <w:r w:rsidR="00535C50">
        <w:t>advocated for</w:t>
      </w:r>
      <w:r w:rsidR="00723BA6">
        <w:t xml:space="preserve"> a presumption</w:t>
      </w:r>
      <w:r w:rsidR="00997163">
        <w:t xml:space="preserve"> that regulation is no</w:t>
      </w:r>
      <w:r w:rsidR="006E1F6D">
        <w:t>t</w:t>
      </w:r>
      <w:r w:rsidR="00997163">
        <w:t xml:space="preserve"> necessary due to the presence of meaningful competition</w:t>
      </w:r>
      <w:r w:rsidR="0070582A">
        <w:t xml:space="preserve"> </w:t>
      </w:r>
      <w:r w:rsidR="005445CB">
        <w:t>starting</w:t>
      </w:r>
      <w:r w:rsidR="0070582A">
        <w:t xml:space="preserve"> in 2011</w:t>
      </w:r>
      <w:r w:rsidR="00997163">
        <w:t xml:space="preserve">.  This </w:t>
      </w:r>
      <w:r w:rsidR="00997163">
        <w:t>presumption could only be overcome by clear and convincing evidence to the contrary.</w:t>
      </w:r>
      <w:r>
        <w:rPr>
          <w:rStyle w:val="FootnoteReference"/>
        </w:rPr>
        <w:footnoteReference w:id="10"/>
      </w:r>
      <w:r w:rsidR="00997163">
        <w:t xml:space="preserve">  </w:t>
      </w:r>
      <w:r w:rsidR="0080103E">
        <w:t>In context,</w:t>
      </w:r>
      <w:r w:rsidR="00535C50">
        <w:t xml:space="preserve"> he was arguing that deregulatory presumptions should be added by Congress to</w:t>
      </w:r>
      <w:r w:rsidR="006E1F6D">
        <w:t xml:space="preserve"> sections 10 and 11 of the Communications A</w:t>
      </w:r>
      <w:r w:rsidR="00535C50">
        <w:t xml:space="preserve">ct, </w:t>
      </w:r>
      <w:r w:rsidR="0080103E">
        <w:t xml:space="preserve">but </w:t>
      </w:r>
      <w:r w:rsidR="00535C50">
        <w:t>there is no reason why the Commission</w:t>
      </w:r>
      <w:r w:rsidR="00F23E56">
        <w:t xml:space="preserve">, on its own </w:t>
      </w:r>
      <w:r w:rsidR="00DF7B35">
        <w:t>accord</w:t>
      </w:r>
      <w:r w:rsidR="00F23E56">
        <w:t>,</w:t>
      </w:r>
      <w:r w:rsidR="00535C50">
        <w:t xml:space="preserve"> could not </w:t>
      </w:r>
      <w:r w:rsidR="0070582A">
        <w:t>use</w:t>
      </w:r>
      <w:r w:rsidR="00535C50">
        <w:t xml:space="preserve"> such an approach when considering forbearance </w:t>
      </w:r>
      <w:r w:rsidR="006E1F6D">
        <w:t xml:space="preserve">petitions or </w:t>
      </w:r>
      <w:r w:rsidR="00535C50">
        <w:t>review</w:t>
      </w:r>
      <w:r w:rsidR="0070582A">
        <w:t>ing rules</w:t>
      </w:r>
      <w:r w:rsidR="00535C50">
        <w:t xml:space="preserve">. </w:t>
      </w:r>
      <w:r w:rsidR="00BD16BE">
        <w:t xml:space="preserve"> </w:t>
      </w:r>
      <w:r w:rsidR="00997163">
        <w:t xml:space="preserve">And, </w:t>
      </w:r>
      <w:r w:rsidR="00122A8D">
        <w:t xml:space="preserve">if </w:t>
      </w:r>
      <w:r w:rsidR="006E1F6D">
        <w:t>for some reason</w:t>
      </w:r>
      <w:r w:rsidR="00AA6D26">
        <w:t xml:space="preserve"> regulation is found to be necessary</w:t>
      </w:r>
      <w:r w:rsidR="00913492">
        <w:t>, t</w:t>
      </w:r>
      <w:r w:rsidR="0045147C">
        <w:t xml:space="preserve">he Commission should impose sunset provisions or require </w:t>
      </w:r>
      <w:r w:rsidR="00CD50EA">
        <w:t xml:space="preserve">periodic </w:t>
      </w:r>
      <w:r w:rsidR="0045147C">
        <w:t xml:space="preserve">reviews for any new </w:t>
      </w:r>
      <w:r w:rsidR="00122A8D">
        <w:t xml:space="preserve">or retained </w:t>
      </w:r>
      <w:r w:rsidR="0045147C">
        <w:t>rules</w:t>
      </w:r>
      <w:r w:rsidR="00913492">
        <w:t xml:space="preserve">.  </w:t>
      </w:r>
    </w:p>
    <w:p w:rsidR="001977DC" w:rsidP="0086580B">
      <w:pPr>
        <w:spacing w:after="0" w:line="240" w:lineRule="auto"/>
      </w:pPr>
    </w:p>
    <w:p w:rsidR="00765078" w:rsidP="00765078">
      <w:pPr>
        <w:pStyle w:val="ListParagraph"/>
        <w:numPr>
          <w:ilvl w:val="0"/>
          <w:numId w:val="10"/>
        </w:numPr>
      </w:pPr>
      <w:r>
        <w:t>Fixing Enforcement</w:t>
      </w:r>
    </w:p>
    <w:p w:rsidR="00B651A9" w:rsidP="0086580B">
      <w:pPr>
        <w:spacing w:after="0" w:line="240" w:lineRule="auto"/>
      </w:pPr>
      <w:r>
        <w:t>Last</w:t>
      </w:r>
      <w:r w:rsidR="00714621">
        <w:t xml:space="preserve"> on my list</w:t>
      </w:r>
      <w:r>
        <w:t xml:space="preserve"> for purposes </w:t>
      </w:r>
      <w:r w:rsidR="00714621">
        <w:t xml:space="preserve">of </w:t>
      </w:r>
      <w:r>
        <w:t>today</w:t>
      </w:r>
      <w:r w:rsidR="00714621">
        <w:t>’s speech</w:t>
      </w:r>
      <w:r>
        <w:t xml:space="preserve"> is </w:t>
      </w:r>
      <w:r w:rsidR="00BA65FE">
        <w:t xml:space="preserve">the </w:t>
      </w:r>
      <w:r>
        <w:t xml:space="preserve">Commission’s </w:t>
      </w:r>
      <w:r w:rsidR="00BA65FE">
        <w:t>enforcement process.</w:t>
      </w:r>
      <w:r w:rsidR="00C83C58">
        <w:t xml:space="preserve">  Not only is there a need to track the </w:t>
      </w:r>
      <w:r w:rsidR="00BC278F">
        <w:t xml:space="preserve">forfeiture </w:t>
      </w:r>
      <w:r w:rsidR="00C83C58">
        <w:t xml:space="preserve">collection process </w:t>
      </w:r>
      <w:r w:rsidR="00F23E56">
        <w:t xml:space="preserve">to </w:t>
      </w:r>
      <w:r w:rsidR="00BC278F">
        <w:t>confirm</w:t>
      </w:r>
      <w:r w:rsidR="00F23E56">
        <w:t xml:space="preserve"> </w:t>
      </w:r>
      <w:r w:rsidR="00BC278F">
        <w:t xml:space="preserve">that our actions are </w:t>
      </w:r>
      <w:r w:rsidR="00F23E56">
        <w:t>carried through</w:t>
      </w:r>
      <w:r w:rsidR="00C83C58">
        <w:t xml:space="preserve">, but there is a need to revisit </w:t>
      </w:r>
      <w:r w:rsidR="009B2BF7">
        <w:t>the</w:t>
      </w:r>
      <w:r w:rsidR="00C83C58">
        <w:t xml:space="preserve"> forfeiture guidelines </w:t>
      </w:r>
      <w:r w:rsidR="0058314A">
        <w:t>to</w:t>
      </w:r>
      <w:r w:rsidR="00C83C58">
        <w:t xml:space="preserve"> ensure that our penalties </w:t>
      </w:r>
      <w:r w:rsidR="0058314A">
        <w:t>are an effective deterrent</w:t>
      </w:r>
      <w:r w:rsidR="00C83C58">
        <w:t xml:space="preserve">.  If we update our base penalties, reliance on upward </w:t>
      </w:r>
      <w:r w:rsidR="000B65CC">
        <w:t>ad</w:t>
      </w:r>
      <w:r w:rsidR="00C83C58">
        <w:t xml:space="preserve">justments will be reduced, increasing the transparency and legitimacy of our enforcement </w:t>
      </w:r>
      <w:r w:rsidR="000C4331">
        <w:t>action</w:t>
      </w:r>
      <w:r w:rsidR="00C83C58">
        <w:t xml:space="preserve">s.  </w:t>
      </w:r>
      <w:r w:rsidR="00BC278F">
        <w:t>During this review, t</w:t>
      </w:r>
      <w:r w:rsidR="0070582A">
        <w:t xml:space="preserve">he Commission should also </w:t>
      </w:r>
      <w:r w:rsidR="00BC278F">
        <w:t>consider</w:t>
      </w:r>
      <w:r w:rsidR="0058314A">
        <w:t xml:space="preserve"> how forfeitures are generally calculated</w:t>
      </w:r>
      <w:r w:rsidR="00BA19AF">
        <w:t xml:space="preserve"> </w:t>
      </w:r>
      <w:r w:rsidR="00B156F8">
        <w:t>–</w:t>
      </w:r>
      <w:r w:rsidR="00BA19AF">
        <w:t xml:space="preserve"> f</w:t>
      </w:r>
      <w:r w:rsidR="0058314A">
        <w:t xml:space="preserve">or instance, by day, by </w:t>
      </w:r>
      <w:r w:rsidR="005B5DA9">
        <w:t xml:space="preserve">call or </w:t>
      </w:r>
      <w:r w:rsidR="0058314A">
        <w:t>device sold, by rule violation</w:t>
      </w:r>
      <w:r w:rsidR="00BC278F">
        <w:t>, and so on</w:t>
      </w:r>
      <w:r w:rsidR="0058314A">
        <w:t xml:space="preserve">.  </w:t>
      </w:r>
      <w:r w:rsidR="00F23E56">
        <w:t xml:space="preserve">We should also consider what constitutes a continuous violation, so we have clear policies </w:t>
      </w:r>
      <w:r w:rsidR="00BC278F">
        <w:t>in place to determine when</w:t>
      </w:r>
      <w:r w:rsidR="00F23E56">
        <w:t xml:space="preserve"> the statute of limitations</w:t>
      </w:r>
      <w:r w:rsidR="00BC278F">
        <w:t xml:space="preserve"> expire</w:t>
      </w:r>
      <w:r w:rsidR="00F23E56">
        <w:t xml:space="preserve">.  </w:t>
      </w:r>
    </w:p>
    <w:p w:rsidR="00B651A9" w:rsidP="0086580B">
      <w:pPr>
        <w:spacing w:after="0" w:line="240" w:lineRule="auto"/>
      </w:pPr>
    </w:p>
    <w:p w:rsidR="00D27BE8" w:rsidP="0086580B">
      <w:pPr>
        <w:spacing w:after="0" w:line="240" w:lineRule="auto"/>
      </w:pPr>
      <w:r>
        <w:t>From what I have seen, o</w:t>
      </w:r>
      <w:r w:rsidR="0058314A">
        <w:t xml:space="preserve">ur policies are </w:t>
      </w:r>
      <w:r w:rsidR="006E1F6D">
        <w:t>a moving target</w:t>
      </w:r>
      <w:r w:rsidR="0058314A">
        <w:t xml:space="preserve">.  </w:t>
      </w:r>
      <w:r w:rsidR="008277AF">
        <w:t>And, when a</w:t>
      </w:r>
      <w:r w:rsidR="00A01457">
        <w:t xml:space="preserve"> Notice of Apparent Liability</w:t>
      </w:r>
      <w:r w:rsidR="008277AF">
        <w:t xml:space="preserve"> </w:t>
      </w:r>
      <w:r w:rsidR="00A01457">
        <w:t>(</w:t>
      </w:r>
      <w:r w:rsidR="008277AF">
        <w:t>NAL</w:t>
      </w:r>
      <w:r w:rsidR="00A01457">
        <w:t>)</w:t>
      </w:r>
      <w:r w:rsidR="008277AF">
        <w:t xml:space="preserve"> is issued, like other proceedings, the Commission should have to resolve the investigation within a certain timeframe, such as 180 days.  </w:t>
      </w:r>
      <w:r w:rsidR="00C83C58">
        <w:t>A</w:t>
      </w:r>
      <w:r w:rsidR="00495F9C">
        <w:t>nd</w:t>
      </w:r>
      <w:r w:rsidR="00AA6D26">
        <w:t>,</w:t>
      </w:r>
      <w:r w:rsidR="00495F9C">
        <w:t xml:space="preserve"> most importantly perhaps</w:t>
      </w:r>
      <w:r w:rsidR="00C83C58">
        <w:t xml:space="preserve">, we need to ensure that this process is never </w:t>
      </w:r>
      <w:r w:rsidR="000C4331">
        <w:t xml:space="preserve">again </w:t>
      </w:r>
      <w:r w:rsidR="00C83C58">
        <w:t>abuse</w:t>
      </w:r>
      <w:r w:rsidR="008C73AD">
        <w:t>d</w:t>
      </w:r>
      <w:r w:rsidR="00C83C58">
        <w:t xml:space="preserve"> like it was </w:t>
      </w:r>
      <w:r w:rsidR="008B1E2F">
        <w:t xml:space="preserve">by </w:t>
      </w:r>
      <w:r w:rsidR="006E1F6D">
        <w:t xml:space="preserve">the </w:t>
      </w:r>
      <w:r w:rsidR="00C83C58">
        <w:t>p</w:t>
      </w:r>
      <w:r w:rsidR="008B1E2F">
        <w:t>revious Commission</w:t>
      </w:r>
      <w:r w:rsidR="00C83C58">
        <w:t xml:space="preserve">.  </w:t>
      </w:r>
      <w:r w:rsidR="00495F9C">
        <w:t>E</w:t>
      </w:r>
      <w:r w:rsidR="00C83C58">
        <w:t xml:space="preserve">nforcement proceedings should </w:t>
      </w:r>
      <w:r w:rsidR="00F23E56">
        <w:t>never</w:t>
      </w:r>
      <w:r w:rsidR="00C83C58">
        <w:t xml:space="preserve"> be used to set policy or precedent t</w:t>
      </w:r>
      <w:r w:rsidR="000B65CC">
        <w:t>hat will apply to</w:t>
      </w:r>
      <w:r w:rsidR="00B37707">
        <w:t xml:space="preserve"> </w:t>
      </w:r>
      <w:r w:rsidR="000B65CC">
        <w:t>multiple part</w:t>
      </w:r>
      <w:r w:rsidR="00C83C58">
        <w:t>ies without the opp</w:t>
      </w:r>
      <w:r w:rsidR="00B37707">
        <w:t>ortunity for basic n</w:t>
      </w:r>
      <w:r w:rsidR="00C83C58">
        <w:t>otice and comment.</w:t>
      </w:r>
      <w:r w:rsidR="008277AF">
        <w:t xml:space="preserve">  </w:t>
      </w:r>
    </w:p>
    <w:p w:rsidR="000926B6" w:rsidP="0086580B">
      <w:pPr>
        <w:spacing w:after="0" w:line="240" w:lineRule="auto"/>
      </w:pPr>
    </w:p>
    <w:p w:rsidR="00984BFE" w:rsidP="0093646A">
      <w:pPr>
        <w:spacing w:after="0" w:line="240" w:lineRule="auto"/>
        <w:jc w:val="center"/>
      </w:pPr>
      <w:r>
        <w:t>*</w:t>
      </w:r>
      <w:r>
        <w:tab/>
        <w:t>*</w:t>
      </w:r>
      <w:r>
        <w:tab/>
        <w:t>*</w:t>
      </w:r>
    </w:p>
    <w:p w:rsidR="00984BFE" w:rsidP="0086580B">
      <w:pPr>
        <w:spacing w:after="0" w:line="240" w:lineRule="auto"/>
      </w:pPr>
    </w:p>
    <w:p w:rsidR="00196FBF">
      <w:r>
        <w:t xml:space="preserve">In closing, </w:t>
      </w:r>
      <w:r w:rsidR="00FA74BD">
        <w:t xml:space="preserve">I recognize that some of </w:t>
      </w:r>
      <w:r w:rsidR="00495F9C">
        <w:t>my reform ideas</w:t>
      </w:r>
      <w:r w:rsidR="00FA74BD">
        <w:t xml:space="preserve"> are easier to implement</w:t>
      </w:r>
      <w:r w:rsidR="00CD4FC5">
        <w:t>,</w:t>
      </w:r>
      <w:r w:rsidR="00FA74BD">
        <w:t xml:space="preserve"> while others may be more difficult</w:t>
      </w:r>
      <w:r w:rsidR="00AA6D26">
        <w:t>,</w:t>
      </w:r>
      <w:r w:rsidR="00FA74BD">
        <w:t xml:space="preserve"> </w:t>
      </w:r>
      <w:r w:rsidR="00691917">
        <w:t>or</w:t>
      </w:r>
      <w:r w:rsidR="00AE78C6">
        <w:t>,</w:t>
      </w:r>
      <w:r w:rsidR="00691917">
        <w:t xml:space="preserve"> perhaps</w:t>
      </w:r>
      <w:r w:rsidR="00AE78C6">
        <w:t>,</w:t>
      </w:r>
      <w:r w:rsidR="00691917">
        <w:t xml:space="preserve"> </w:t>
      </w:r>
      <w:r w:rsidR="00FA74BD">
        <w:t xml:space="preserve">controversial.  If necessary, as was done with posting meeting items online, I propose that they can start as trials.  While I think trial periods are </w:t>
      </w:r>
      <w:r w:rsidR="00906E99">
        <w:t>mostly un</w:t>
      </w:r>
      <w:r w:rsidR="00FA74BD">
        <w:t>necessary</w:t>
      </w:r>
      <w:r w:rsidR="00906E99">
        <w:t>,</w:t>
      </w:r>
      <w:r w:rsidR="00FA74BD">
        <w:t xml:space="preserve"> at </w:t>
      </w:r>
      <w:r w:rsidR="00906E99">
        <w:t>least</w:t>
      </w:r>
      <w:r w:rsidR="00FA74BD">
        <w:t xml:space="preserve"> it is a small step up </w:t>
      </w:r>
      <w:r w:rsidR="00ED1E54">
        <w:t>S</w:t>
      </w:r>
      <w:r w:rsidR="00FA74BD">
        <w:t>hakespear</w:t>
      </w:r>
      <w:r w:rsidR="0049591E">
        <w:t>e</w:t>
      </w:r>
      <w:r w:rsidR="00FA74BD">
        <w:t>’s steep hill</w:t>
      </w:r>
      <w:r w:rsidR="00906E99">
        <w:t xml:space="preserve"> towards </w:t>
      </w:r>
      <w:r w:rsidR="00495F9C">
        <w:t xml:space="preserve">effectuating </w:t>
      </w:r>
      <w:r w:rsidR="00596684">
        <w:t xml:space="preserve">change and </w:t>
      </w:r>
      <w:r w:rsidR="00906E99">
        <w:t>trying something new</w:t>
      </w:r>
      <w:r w:rsidR="00FA74BD">
        <w:t>.</w:t>
      </w:r>
      <w:r w:rsidR="00C61219">
        <w:t xml:space="preserve"> </w:t>
      </w:r>
      <w:r w:rsidR="00495F9C">
        <w:t xml:space="preserve"> </w:t>
      </w:r>
      <w:r w:rsidR="00C61219">
        <w:t>And</w:t>
      </w:r>
      <w:r w:rsidR="00596684">
        <w:t>,</w:t>
      </w:r>
      <w:r w:rsidR="00C61219">
        <w:t xml:space="preserve"> it must be a good idea because Randy May wrote a blog on th</w:t>
      </w:r>
      <w:r w:rsidR="0029343E">
        <w:t>is</w:t>
      </w:r>
      <w:r w:rsidR="00C61219">
        <w:t xml:space="preserve"> very idea back in January 2017.</w:t>
      </w:r>
      <w:r>
        <w:rPr>
          <w:rStyle w:val="FootnoteReference"/>
        </w:rPr>
        <w:footnoteReference w:id="11"/>
      </w:r>
    </w:p>
    <w:sectPr w:rsidSect="005B0A8F">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16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1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346B" w:rsidP="00C61219">
      <w:pPr>
        <w:spacing w:after="0" w:line="240" w:lineRule="auto"/>
      </w:pPr>
      <w:r>
        <w:separator/>
      </w:r>
    </w:p>
  </w:footnote>
  <w:footnote w:type="continuationSeparator" w:id="1">
    <w:p w:rsidR="0013346B" w:rsidP="00C61219">
      <w:pPr>
        <w:spacing w:after="0" w:line="240" w:lineRule="auto"/>
      </w:pPr>
      <w:r>
        <w:continuationSeparator/>
      </w:r>
    </w:p>
  </w:footnote>
  <w:footnote w:id="2">
    <w:p w:rsidR="003F72FC">
      <w:pPr>
        <w:pStyle w:val="FootnoteText"/>
      </w:pPr>
      <w:r>
        <w:rPr>
          <w:rStyle w:val="FootnoteReference"/>
        </w:rPr>
        <w:footnoteRef/>
      </w:r>
      <w:r>
        <w:t xml:space="preserve"> </w:t>
      </w:r>
      <w:r w:rsidRPr="003F72FC">
        <w:t>OFFICE OF MGMT. &amp; BUDGET, EXEC. OFFICE OF THE PRESIDENT, OMB CIRCULAR A-4, REGULATORY ANALYSIS (2003).</w:t>
      </w:r>
    </w:p>
  </w:footnote>
  <w:footnote w:id="3">
    <w:p w:rsidR="003F72FC" w:rsidP="00964FE7">
      <w:pPr>
        <w:pStyle w:val="FootnoteText"/>
        <w:spacing w:after="120"/>
      </w:pPr>
      <w:r>
        <w:rPr>
          <w:rStyle w:val="FootnoteReference"/>
        </w:rPr>
        <w:footnoteRef/>
      </w:r>
      <w:r>
        <w:t xml:space="preserve"> </w:t>
      </w:r>
      <w:r w:rsidRPr="003F72FC">
        <w:rPr>
          <w:i/>
        </w:rPr>
        <w:t>Family Voice Communications, LLC</w:t>
      </w:r>
      <w:r w:rsidRPr="003F72FC">
        <w:t xml:space="preserve">, MB Docket 18-139, Hearing Designation Order, FCC </w:t>
      </w:r>
      <w:bookmarkStart w:id="0" w:name="_Hlk517944853"/>
      <w:r w:rsidRPr="003F72FC">
        <w:t xml:space="preserve">18-56 </w:t>
      </w:r>
      <w:bookmarkEnd w:id="0"/>
      <w:r w:rsidRPr="003F72FC">
        <w:t>(</w:t>
      </w:r>
      <w:r w:rsidR="00E937A9">
        <w:t xml:space="preserve">rel. </w:t>
      </w:r>
      <w:r w:rsidRPr="003F72FC">
        <w:t>May 7, 2018).</w:t>
      </w:r>
    </w:p>
  </w:footnote>
  <w:footnote w:id="4">
    <w:p w:rsidR="003F72FC" w:rsidP="00964FE7">
      <w:pPr>
        <w:pStyle w:val="FootnoteText"/>
        <w:spacing w:after="120"/>
      </w:pPr>
      <w:r>
        <w:rPr>
          <w:rStyle w:val="FootnoteReference"/>
        </w:rPr>
        <w:footnoteRef/>
      </w:r>
      <w:r>
        <w:t xml:space="preserve"> </w:t>
      </w:r>
      <w:r w:rsidRPr="00797CD9">
        <w:rPr>
          <w:i/>
        </w:rPr>
        <w:t>Game Show Network, LLC, Complainant v. Cablevision Systems Corp., Defendant</w:t>
      </w:r>
      <w:r>
        <w:t xml:space="preserve">, </w:t>
      </w:r>
      <w:r w:rsidRPr="00D04498">
        <w:t>MB Docket No. 12-122</w:t>
      </w:r>
      <w:r>
        <w:t>,</w:t>
      </w:r>
      <w:r w:rsidRPr="00D04498">
        <w:t xml:space="preserve"> </w:t>
      </w:r>
      <w:r>
        <w:t xml:space="preserve">Memorandum Opinion &amp; Order, </w:t>
      </w:r>
      <w:r w:rsidRPr="00D04498">
        <w:t xml:space="preserve">32 FCC </w:t>
      </w:r>
      <w:r w:rsidRPr="00D04498">
        <w:t>Rcd</w:t>
      </w:r>
      <w:r w:rsidRPr="00D04498">
        <w:t xml:space="preserve"> 6160</w:t>
      </w:r>
      <w:r>
        <w:t xml:space="preserve"> (2017) (stating that GSN filed a program carriage complaint on </w:t>
      </w:r>
      <w:r w:rsidRPr="00D04498">
        <w:t xml:space="preserve">October 12, 2011, </w:t>
      </w:r>
      <w:r>
        <w:t>the hearing designation order was released on May 9, 2012, an abeyance was put into place due to the Tennis Channel case that was decided in 2013, the ALJ made his decision on November 23, 2016, and the Commission overturned his decision on July 14, 2017</w:t>
      </w:r>
      <w:r w:rsidRPr="00D04498">
        <w:t>)</w:t>
      </w:r>
      <w:r w:rsidR="008B1A33">
        <w:t>.</w:t>
      </w:r>
      <w:r>
        <w:t xml:space="preserve"> </w:t>
      </w:r>
      <w:r w:rsidR="008B1A33">
        <w:t xml:space="preserve"> </w:t>
      </w:r>
      <w:r w:rsidRPr="008B1A33" w:rsidR="008B1A33">
        <w:rPr>
          <w:i/>
        </w:rPr>
        <w:t>See also</w:t>
      </w:r>
      <w:r w:rsidR="008B1A33">
        <w:t xml:space="preserve"> </w:t>
      </w:r>
      <w:r w:rsidRPr="00797CD9">
        <w:rPr>
          <w:i/>
        </w:rPr>
        <w:t>David Titus Amateur Radio Operator and Licensee of Amateur Radio Station KB7ILD</w:t>
      </w:r>
      <w:r>
        <w:t xml:space="preserve">, </w:t>
      </w:r>
      <w:r w:rsidRPr="008C1195">
        <w:t>EB Docket No. 07-13</w:t>
      </w:r>
      <w:r>
        <w:t>,</w:t>
      </w:r>
      <w:r w:rsidRPr="008C1195">
        <w:t xml:space="preserve"> </w:t>
      </w:r>
      <w:r>
        <w:t xml:space="preserve">Decision, </w:t>
      </w:r>
      <w:r w:rsidRPr="008C1195">
        <w:t xml:space="preserve">29 FCC </w:t>
      </w:r>
      <w:r w:rsidRPr="008C1195">
        <w:t>Rcd</w:t>
      </w:r>
      <w:r w:rsidRPr="008C1195">
        <w:t xml:space="preserve"> 14066</w:t>
      </w:r>
      <w:r>
        <w:t xml:space="preserve"> (2014) (stating EB issued an order to show cause in 2007 and the ALJ’s decision was reversed in November</w:t>
      </w:r>
      <w:r w:rsidR="00964FE7">
        <w:t xml:space="preserve"> 6,</w:t>
      </w:r>
      <w:r>
        <w:t xml:space="preserve"> 2014)</w:t>
      </w:r>
      <w:r w:rsidR="008B1A33">
        <w:t>;</w:t>
      </w:r>
      <w:r w:rsidRPr="00797CD9">
        <w:rPr>
          <w:i/>
        </w:rPr>
        <w:t xml:space="preserve"> Tennis Channel,</w:t>
      </w:r>
      <w:r w:rsidR="008B1A33">
        <w:rPr>
          <w:i/>
        </w:rPr>
        <w:t xml:space="preserve"> Inc.,</w:t>
      </w:r>
      <w:r w:rsidRPr="00797CD9">
        <w:rPr>
          <w:i/>
        </w:rPr>
        <w:t xml:space="preserve"> Complainant, v. Comcast Cable Communications, L.L.C., Defendant</w:t>
      </w:r>
      <w:r>
        <w:t xml:space="preserve">, </w:t>
      </w:r>
      <w:r w:rsidRPr="00141680">
        <w:t>MB Docket No. 10-204</w:t>
      </w:r>
      <w:r>
        <w:t xml:space="preserve">, Order, </w:t>
      </w:r>
      <w:r w:rsidRPr="00141680">
        <w:t xml:space="preserve">30 FCC </w:t>
      </w:r>
      <w:r w:rsidRPr="00141680">
        <w:t>Rcd</w:t>
      </w:r>
      <w:r w:rsidRPr="00141680">
        <w:t xml:space="preserve"> 849</w:t>
      </w:r>
      <w:r>
        <w:t xml:space="preserve"> (2015) (reversing the ALJ’s decision).</w:t>
      </w:r>
    </w:p>
  </w:footnote>
  <w:footnote w:id="5">
    <w:p w:rsidR="003A3A71" w:rsidP="00964FE7">
      <w:pPr>
        <w:pStyle w:val="FootnoteText"/>
        <w:spacing w:after="120"/>
      </w:pPr>
      <w:r>
        <w:rPr>
          <w:rStyle w:val="FootnoteReference"/>
        </w:rPr>
        <w:footnoteRef/>
      </w:r>
      <w:r>
        <w:t xml:space="preserve"> </w:t>
      </w:r>
      <w:r w:rsidRPr="009D08C6" w:rsidR="00FA130B">
        <w:rPr>
          <w:i/>
        </w:rPr>
        <w:t>See, e.g.,</w:t>
      </w:r>
      <w:r w:rsidR="00FA130B">
        <w:t xml:space="preserve"> </w:t>
      </w:r>
      <w:r w:rsidRPr="00797CD9" w:rsidR="00FA130B">
        <w:rPr>
          <w:i/>
        </w:rPr>
        <w:t>William F. Crowell</w:t>
      </w:r>
      <w:r w:rsidR="00FA130B">
        <w:t xml:space="preserve">, </w:t>
      </w:r>
      <w:r w:rsidRPr="00027401" w:rsidR="00FA130B">
        <w:t>WT Docket No. 08-20</w:t>
      </w:r>
      <w:r w:rsidR="00FA130B">
        <w:t xml:space="preserve">, </w:t>
      </w:r>
      <w:r w:rsidR="00E937A9">
        <w:t xml:space="preserve">Memorandum Opinion and Order, </w:t>
      </w:r>
      <w:r w:rsidRPr="00027401" w:rsidR="00FA130B">
        <w:t>FCC 18-52</w:t>
      </w:r>
      <w:r w:rsidR="00FA130B">
        <w:t xml:space="preserve"> </w:t>
      </w:r>
      <w:r w:rsidR="00E937A9">
        <w:t xml:space="preserve">(rel. </w:t>
      </w:r>
      <w:r w:rsidR="00FA130B">
        <w:t>Apr. 26, 2018</w:t>
      </w:r>
      <w:r w:rsidR="00E937A9">
        <w:t>)</w:t>
      </w:r>
      <w:r w:rsidR="00FA130B">
        <w:t xml:space="preserve"> (stating that the application was filed on February 28, 2007, the hearing designation order was released on February 12, 2008, and the proceeding is still before the ALJ)</w:t>
      </w:r>
      <w:r w:rsidR="00DE6EDD">
        <w:t xml:space="preserve">; </w:t>
      </w:r>
      <w:r w:rsidRPr="00797CD9" w:rsidR="00DE6EDD">
        <w:rPr>
          <w:i/>
        </w:rPr>
        <w:t xml:space="preserve">William L. </w:t>
      </w:r>
      <w:r w:rsidRPr="00797CD9" w:rsidR="00DE6EDD">
        <w:rPr>
          <w:i/>
        </w:rPr>
        <w:t>Zawila</w:t>
      </w:r>
      <w:r w:rsidRPr="00CB523F" w:rsidR="00DE6EDD">
        <w:t xml:space="preserve">, </w:t>
      </w:r>
      <w:r w:rsidRPr="001D28BE" w:rsidR="00DE6EDD">
        <w:t>EB Docket No. 03-152</w:t>
      </w:r>
      <w:r w:rsidR="00DE6EDD">
        <w:t xml:space="preserve">, </w:t>
      </w:r>
      <w:r w:rsidRPr="00DE6EDD" w:rsidR="00DE6EDD">
        <w:t>Order to Show Cause, Notice of Opportunity for Hearing, and Hearing Designation Order</w:t>
      </w:r>
      <w:r w:rsidR="00DE6EDD">
        <w:t xml:space="preserve">, </w:t>
      </w:r>
      <w:r w:rsidRPr="00CB523F" w:rsidR="00DE6EDD">
        <w:t xml:space="preserve">18 FCC </w:t>
      </w:r>
      <w:r w:rsidRPr="00CB523F" w:rsidR="00DE6EDD">
        <w:t>Rcd</w:t>
      </w:r>
      <w:r w:rsidRPr="00CB523F" w:rsidR="00DE6EDD">
        <w:t xml:space="preserve"> 14938 (2003)</w:t>
      </w:r>
      <w:r w:rsidR="00DE6EDD">
        <w:t>.</w:t>
      </w:r>
    </w:p>
  </w:footnote>
  <w:footnote w:id="6">
    <w:p w:rsidR="00FA130B" w:rsidP="00964FE7">
      <w:pPr>
        <w:pStyle w:val="FootnoteText"/>
        <w:spacing w:after="120"/>
      </w:pPr>
      <w:r>
        <w:rPr>
          <w:rStyle w:val="FootnoteReference"/>
        </w:rPr>
        <w:footnoteRef/>
      </w:r>
      <w:r>
        <w:t xml:space="preserve"> </w:t>
      </w:r>
      <w:bookmarkStart w:id="1" w:name="_Hlk517791861"/>
      <w:r w:rsidR="00072955">
        <w:rPr>
          <w:i/>
        </w:rPr>
        <w:t>Zawila</w:t>
      </w:r>
      <w:r w:rsidR="00072955">
        <w:t xml:space="preserve">, 18 FCC </w:t>
      </w:r>
      <w:r w:rsidR="00072955">
        <w:t>Rcd</w:t>
      </w:r>
      <w:r w:rsidR="00072955">
        <w:t xml:space="preserve"> at 14938</w:t>
      </w:r>
      <w:r w:rsidR="00DE6EDD">
        <w:rPr>
          <w:i/>
        </w:rPr>
        <w:t>.</w:t>
      </w:r>
      <w:bookmarkEnd w:id="1"/>
      <w:r>
        <w:t xml:space="preserve">  The ALJ granted a motion for summary decision in August 2017, returning the issues to Commission staff.  </w:t>
      </w:r>
      <w:r w:rsidRPr="00E2286D">
        <w:rPr>
          <w:i/>
        </w:rPr>
        <w:t>See</w:t>
      </w:r>
      <w:r>
        <w:t xml:space="preserve"> </w:t>
      </w:r>
      <w:r w:rsidRPr="009D08C6">
        <w:rPr>
          <w:i/>
        </w:rPr>
        <w:t xml:space="preserve">William L. </w:t>
      </w:r>
      <w:r w:rsidRPr="009D08C6">
        <w:rPr>
          <w:i/>
        </w:rPr>
        <w:t>Zawila</w:t>
      </w:r>
      <w:r w:rsidRPr="0003580C">
        <w:t xml:space="preserve">, EB Docket No. 03-152, Summary Decision of Chief Administrative Law Judge Richard L. </w:t>
      </w:r>
      <w:r w:rsidRPr="0003580C">
        <w:t>Sippel</w:t>
      </w:r>
      <w:r w:rsidRPr="0003580C">
        <w:t>, FCC 17M-28 (</w:t>
      </w:r>
      <w:r w:rsidR="00964FE7">
        <w:t xml:space="preserve">rel. </w:t>
      </w:r>
      <w:r>
        <w:t>ALJ Aug. 10, 2017</w:t>
      </w:r>
      <w:r w:rsidRPr="0003580C">
        <w:t>)</w:t>
      </w:r>
      <w:r>
        <w:t>.  An appeal of this motion is currently pending with the Commission.</w:t>
      </w:r>
    </w:p>
  </w:footnote>
  <w:footnote w:id="7">
    <w:p w:rsidR="00072955" w:rsidP="00964FE7">
      <w:pPr>
        <w:pStyle w:val="FootnoteText"/>
        <w:spacing w:after="120"/>
      </w:pPr>
      <w:r>
        <w:rPr>
          <w:rStyle w:val="FootnoteReference"/>
        </w:rPr>
        <w:footnoteRef/>
      </w:r>
      <w:r>
        <w:t xml:space="preserve"> Shalini Ramachandran, Joe Flint and Brent Kendall, </w:t>
      </w:r>
      <w:r w:rsidRPr="00964FE7">
        <w:rPr>
          <w:i/>
        </w:rPr>
        <w:t>FCC Staff Recommends Hearing on Comcast-Time Warner Cable Merger</w:t>
      </w:r>
      <w:r>
        <w:t xml:space="preserve">, </w:t>
      </w:r>
      <w:r w:rsidRPr="00964FE7">
        <w:rPr>
          <w:smallCaps/>
        </w:rPr>
        <w:t>Wall St</w:t>
      </w:r>
      <w:r w:rsidRPr="00964FE7" w:rsidR="00964FE7">
        <w:rPr>
          <w:smallCaps/>
        </w:rPr>
        <w:t>.</w:t>
      </w:r>
      <w:r w:rsidRPr="00964FE7">
        <w:rPr>
          <w:smallCaps/>
        </w:rPr>
        <w:t xml:space="preserve"> J</w:t>
      </w:r>
      <w:r w:rsidRPr="00964FE7" w:rsidR="00964FE7">
        <w:rPr>
          <w:smallCaps/>
        </w:rPr>
        <w:t>.</w:t>
      </w:r>
      <w:r>
        <w:t xml:space="preserve">, Apr. 23, 2015, </w:t>
      </w:r>
      <w:r w:rsidRPr="00EF4E00">
        <w:t>https://www.wsj.com/articles/fcc-staff-recommends-hearing-on-comcast-time-warner-cable-merger-1429751499</w:t>
      </w:r>
      <w:r>
        <w:t xml:space="preserve">; Shalini Ramachandran, </w:t>
      </w:r>
      <w:r w:rsidRPr="00964FE7">
        <w:rPr>
          <w:i/>
        </w:rPr>
        <w:t>Comcast to Drop Bid for Time Warner Cable</w:t>
      </w:r>
      <w:r>
        <w:t xml:space="preserve">, </w:t>
      </w:r>
      <w:r w:rsidRPr="00964FE7">
        <w:rPr>
          <w:smallCaps/>
        </w:rPr>
        <w:t>Wall St</w:t>
      </w:r>
      <w:r w:rsidRPr="00964FE7" w:rsidR="00964FE7">
        <w:rPr>
          <w:smallCaps/>
        </w:rPr>
        <w:t>.</w:t>
      </w:r>
      <w:r w:rsidRPr="00964FE7">
        <w:rPr>
          <w:smallCaps/>
        </w:rPr>
        <w:t xml:space="preserve"> J</w:t>
      </w:r>
      <w:r w:rsidRPr="00964FE7" w:rsidR="00964FE7">
        <w:rPr>
          <w:smallCaps/>
        </w:rPr>
        <w:t>.</w:t>
      </w:r>
      <w:r>
        <w:t xml:space="preserve">, Apr. 23, 2015, </w:t>
      </w:r>
      <w:r w:rsidRPr="00072955">
        <w:t>https://www.wsj.com/articles/comcast-to-drop-bid-for-time-warner-cable-1429824755</w:t>
      </w:r>
      <w:r>
        <w:t>.</w:t>
      </w:r>
    </w:p>
  </w:footnote>
  <w:footnote w:id="8">
    <w:p w:rsidR="00FA130B" w:rsidP="00964FE7">
      <w:pPr>
        <w:pStyle w:val="FootnoteText"/>
        <w:spacing w:after="120"/>
      </w:pPr>
      <w:r>
        <w:rPr>
          <w:rStyle w:val="FootnoteReference"/>
        </w:rPr>
        <w:footnoteRef/>
      </w:r>
      <w:r>
        <w:t xml:space="preserve"> The </w:t>
      </w:r>
      <w:r w:rsidRPr="00B21966">
        <w:t xml:space="preserve">ALJ </w:t>
      </w:r>
      <w:r>
        <w:t xml:space="preserve">only </w:t>
      </w:r>
      <w:r w:rsidRPr="00B21966">
        <w:t xml:space="preserve">has two active proceedings, and there are four others that were </w:t>
      </w:r>
      <w:r>
        <w:t>before the ALJ</w:t>
      </w:r>
      <w:r w:rsidRPr="00B21966">
        <w:t xml:space="preserve"> that are now back with Commission staff.</w:t>
      </w:r>
    </w:p>
  </w:footnote>
  <w:footnote w:id="9">
    <w:p w:rsidR="00FA130B" w:rsidP="00964FE7">
      <w:pPr>
        <w:pStyle w:val="FootnoteText"/>
        <w:spacing w:after="120"/>
      </w:pPr>
      <w:r>
        <w:rPr>
          <w:rStyle w:val="FootnoteReference"/>
        </w:rPr>
        <w:footnoteRef/>
      </w:r>
      <w:r>
        <w:t xml:space="preserve"> 47 U.S.</w:t>
      </w:r>
      <w:r w:rsidRPr="00E2286D">
        <w:rPr>
          <w:rFonts w:cstheme="minorHAnsi"/>
        </w:rPr>
        <w:t>C §§</w:t>
      </w:r>
      <w:r>
        <w:t xml:space="preserve"> 160, 161.</w:t>
      </w:r>
    </w:p>
  </w:footnote>
  <w:footnote w:id="10">
    <w:p w:rsidR="00FA130B" w:rsidP="00964FE7">
      <w:pPr>
        <w:pStyle w:val="FootnoteText"/>
        <w:spacing w:after="120"/>
      </w:pPr>
      <w:r>
        <w:rPr>
          <w:rStyle w:val="FootnoteReference"/>
        </w:rPr>
        <w:footnoteRef/>
      </w:r>
      <w:r>
        <w:t xml:space="preserve"> </w:t>
      </w:r>
      <w:r w:rsidR="00B80606">
        <w:t xml:space="preserve">Randolph J. May, </w:t>
      </w:r>
      <w:r w:rsidRPr="00797CD9" w:rsidR="00B80606">
        <w:rPr>
          <w:i/>
        </w:rPr>
        <w:t>A Modest Proposal for FCC Regulatory Reform: Making Forbearance and Regulatory Review Decisions More Deregulatory</w:t>
      </w:r>
      <w:r w:rsidR="00B80606">
        <w:t xml:space="preserve"> </w:t>
      </w:r>
      <w:r w:rsidR="006A1AE2">
        <w:t>(</w:t>
      </w:r>
      <w:r w:rsidR="00B80606">
        <w:t>Apr. 7, 2011</w:t>
      </w:r>
      <w:r w:rsidR="006A1AE2">
        <w:t>)</w:t>
      </w:r>
      <w:r w:rsidR="00B80606">
        <w:t xml:space="preserve">, </w:t>
      </w:r>
      <w:r w:rsidRPr="00596684" w:rsidR="00B80606">
        <w:t>http://www.freestatefoundation.org/images/A_Modest_Proposal_for_FCC_Regulatory_Reform.pdf</w:t>
      </w:r>
      <w:r w:rsidR="00B80606">
        <w:t>.</w:t>
      </w:r>
    </w:p>
  </w:footnote>
  <w:footnote w:id="11">
    <w:p w:rsidR="00B80606" w:rsidP="00964FE7">
      <w:pPr>
        <w:pStyle w:val="FootnoteText"/>
        <w:spacing w:after="120"/>
      </w:pPr>
      <w:r>
        <w:rPr>
          <w:rStyle w:val="FootnoteReference"/>
        </w:rPr>
        <w:footnoteRef/>
      </w:r>
      <w:r>
        <w:t xml:space="preserve"> </w:t>
      </w:r>
      <w:bookmarkStart w:id="4" w:name="_Hlk517433196"/>
      <w:r>
        <w:t xml:space="preserve">Randolph J. May, </w:t>
      </w:r>
      <w:r w:rsidRPr="00797CD9">
        <w:rPr>
          <w:i/>
        </w:rPr>
        <w:t>A Proposal for Trialing FCC Process Reforms</w:t>
      </w:r>
      <w:r w:rsidR="006A1AE2">
        <w:t xml:space="preserve">, </w:t>
      </w:r>
      <w:r w:rsidRPr="006A1AE2" w:rsidR="006A1AE2">
        <w:rPr>
          <w:smallCaps/>
        </w:rPr>
        <w:t>Free State Foundation</w:t>
      </w:r>
      <w:r w:rsidR="006A1AE2">
        <w:t xml:space="preserve"> (</w:t>
      </w:r>
      <w:r>
        <w:t xml:space="preserve">Jan. 9, 2017, </w:t>
      </w:r>
      <w:r w:rsidR="006A1AE2">
        <w:t xml:space="preserve">11:19 AM), </w:t>
      </w:r>
      <w:r w:rsidRPr="00C61219">
        <w:t>http://freestatefoundation.blogspot.com/2017/01/a-proposal-for-trialing-fcc-process.html</w:t>
      </w:r>
      <w:bookmarkEnd w:id="4"/>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140026"/>
    <w:multiLevelType w:val="hybridMultilevel"/>
    <w:tmpl w:val="D66CABA0"/>
    <w:lvl w:ilvl="0">
      <w:start w:val="1"/>
      <w:numFmt w:val="decimal"/>
      <w:lvlText w:val="%1."/>
      <w:lvlJc w:val="left"/>
      <w:pPr>
        <w:ind w:left="1446" w:hanging="360"/>
      </w:pPr>
    </w:lvl>
    <w:lvl w:ilvl="1" w:tentative="1">
      <w:start w:val="1"/>
      <w:numFmt w:val="lowerLetter"/>
      <w:lvlText w:val="%2."/>
      <w:lvlJc w:val="left"/>
      <w:pPr>
        <w:ind w:left="2166" w:hanging="360"/>
      </w:pPr>
    </w:lvl>
    <w:lvl w:ilvl="2" w:tentative="1">
      <w:start w:val="1"/>
      <w:numFmt w:val="lowerRoman"/>
      <w:lvlText w:val="%3."/>
      <w:lvlJc w:val="right"/>
      <w:pPr>
        <w:ind w:left="2886" w:hanging="180"/>
      </w:pPr>
    </w:lvl>
    <w:lvl w:ilvl="3" w:tentative="1">
      <w:start w:val="1"/>
      <w:numFmt w:val="decimal"/>
      <w:lvlText w:val="%4."/>
      <w:lvlJc w:val="left"/>
      <w:pPr>
        <w:ind w:left="3606" w:hanging="360"/>
      </w:pPr>
    </w:lvl>
    <w:lvl w:ilvl="4" w:tentative="1">
      <w:start w:val="1"/>
      <w:numFmt w:val="lowerLetter"/>
      <w:lvlText w:val="%5."/>
      <w:lvlJc w:val="left"/>
      <w:pPr>
        <w:ind w:left="4326" w:hanging="360"/>
      </w:pPr>
    </w:lvl>
    <w:lvl w:ilvl="5" w:tentative="1">
      <w:start w:val="1"/>
      <w:numFmt w:val="lowerRoman"/>
      <w:lvlText w:val="%6."/>
      <w:lvlJc w:val="right"/>
      <w:pPr>
        <w:ind w:left="5046" w:hanging="180"/>
      </w:pPr>
    </w:lvl>
    <w:lvl w:ilvl="6" w:tentative="1">
      <w:start w:val="1"/>
      <w:numFmt w:val="decimal"/>
      <w:lvlText w:val="%7."/>
      <w:lvlJc w:val="left"/>
      <w:pPr>
        <w:ind w:left="5766" w:hanging="360"/>
      </w:pPr>
    </w:lvl>
    <w:lvl w:ilvl="7" w:tentative="1">
      <w:start w:val="1"/>
      <w:numFmt w:val="lowerLetter"/>
      <w:lvlText w:val="%8."/>
      <w:lvlJc w:val="left"/>
      <w:pPr>
        <w:ind w:left="6486" w:hanging="360"/>
      </w:pPr>
    </w:lvl>
    <w:lvl w:ilvl="8" w:tentative="1">
      <w:start w:val="1"/>
      <w:numFmt w:val="lowerRoman"/>
      <w:lvlText w:val="%9."/>
      <w:lvlJc w:val="right"/>
      <w:pPr>
        <w:ind w:left="7206" w:hanging="180"/>
      </w:pPr>
    </w:lvl>
  </w:abstractNum>
  <w:abstractNum w:abstractNumId="1">
    <w:nsid w:val="184F41A6"/>
    <w:multiLevelType w:val="hybridMultilevel"/>
    <w:tmpl w:val="90DCBC34"/>
    <w:lvl w:ilvl="0">
      <w:start w:val="2"/>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CB862DE"/>
    <w:multiLevelType w:val="hybridMultilevel"/>
    <w:tmpl w:val="382099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6F0D75"/>
    <w:multiLevelType w:val="hybridMultilevel"/>
    <w:tmpl w:val="79226D6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A4740B"/>
    <w:multiLevelType w:val="hybridMultilevel"/>
    <w:tmpl w:val="479C95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8D3E0C"/>
    <w:multiLevelType w:val="hybridMultilevel"/>
    <w:tmpl w:val="49687D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19A4352"/>
    <w:multiLevelType w:val="hybridMultilevel"/>
    <w:tmpl w:val="D960F9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38D0739"/>
    <w:multiLevelType w:val="hybridMultilevel"/>
    <w:tmpl w:val="8494A3C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DE31295"/>
    <w:multiLevelType w:val="hybridMultilevel"/>
    <w:tmpl w:val="39A0F9A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6E75EC7"/>
    <w:multiLevelType w:val="hybridMultilevel"/>
    <w:tmpl w:val="A1A4A69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0"/>
  </w:num>
  <w:num w:numId="6">
    <w:abstractNumId w:val="8"/>
  </w:num>
  <w:num w:numId="7">
    <w:abstractNumId w:val="1"/>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12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219"/>
    <w:rPr>
      <w:sz w:val="20"/>
      <w:szCs w:val="20"/>
    </w:rPr>
  </w:style>
  <w:style w:type="character" w:styleId="FootnoteReference">
    <w:name w:val="footnote reference"/>
    <w:basedOn w:val="DefaultParagraphFont"/>
    <w:uiPriority w:val="99"/>
    <w:semiHidden/>
    <w:unhideWhenUsed/>
    <w:rsid w:val="00C61219"/>
    <w:rPr>
      <w:vertAlign w:val="superscript"/>
    </w:rPr>
  </w:style>
  <w:style w:type="paragraph" w:styleId="Header">
    <w:name w:val="header"/>
    <w:basedOn w:val="Normal"/>
    <w:link w:val="HeaderChar"/>
    <w:uiPriority w:val="99"/>
    <w:unhideWhenUsed/>
    <w:rsid w:val="00226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48A"/>
  </w:style>
  <w:style w:type="paragraph" w:styleId="Footer">
    <w:name w:val="footer"/>
    <w:basedOn w:val="Normal"/>
    <w:link w:val="FooterChar"/>
    <w:uiPriority w:val="99"/>
    <w:unhideWhenUsed/>
    <w:rsid w:val="00226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48A"/>
  </w:style>
  <w:style w:type="character" w:styleId="PageNumber">
    <w:name w:val="page number"/>
    <w:basedOn w:val="DefaultParagraphFont"/>
    <w:uiPriority w:val="99"/>
    <w:semiHidden/>
    <w:unhideWhenUsed/>
    <w:rsid w:val="0022648A"/>
  </w:style>
  <w:style w:type="paragraph" w:styleId="BalloonText">
    <w:name w:val="Balloon Text"/>
    <w:basedOn w:val="Normal"/>
    <w:link w:val="BalloonTextChar"/>
    <w:uiPriority w:val="99"/>
    <w:semiHidden/>
    <w:unhideWhenUsed/>
    <w:rsid w:val="005D3934"/>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D3934"/>
    <w:rPr>
      <w:rFonts w:ascii="Arial" w:hAnsi="Arial" w:cs="Arial"/>
      <w:sz w:val="18"/>
      <w:szCs w:val="18"/>
    </w:rPr>
  </w:style>
  <w:style w:type="paragraph" w:styleId="ListParagraph">
    <w:name w:val="List Paragraph"/>
    <w:basedOn w:val="Normal"/>
    <w:uiPriority w:val="34"/>
    <w:qFormat/>
    <w:rsid w:val="00BD265D"/>
    <w:pPr>
      <w:ind w:left="720"/>
      <w:contextualSpacing/>
    </w:pPr>
  </w:style>
  <w:style w:type="character" w:styleId="CommentReference">
    <w:name w:val="annotation reference"/>
    <w:basedOn w:val="DefaultParagraphFont"/>
    <w:uiPriority w:val="99"/>
    <w:semiHidden/>
    <w:unhideWhenUsed/>
    <w:rsid w:val="00A44AE9"/>
    <w:rPr>
      <w:sz w:val="16"/>
      <w:szCs w:val="16"/>
    </w:rPr>
  </w:style>
  <w:style w:type="paragraph" w:styleId="CommentText">
    <w:name w:val="annotation text"/>
    <w:basedOn w:val="Normal"/>
    <w:link w:val="CommentTextChar"/>
    <w:uiPriority w:val="99"/>
    <w:semiHidden/>
    <w:unhideWhenUsed/>
    <w:rsid w:val="00A44AE9"/>
    <w:pPr>
      <w:spacing w:line="240" w:lineRule="auto"/>
    </w:pPr>
    <w:rPr>
      <w:sz w:val="20"/>
      <w:szCs w:val="20"/>
    </w:rPr>
  </w:style>
  <w:style w:type="character" w:customStyle="1" w:styleId="CommentTextChar">
    <w:name w:val="Comment Text Char"/>
    <w:basedOn w:val="DefaultParagraphFont"/>
    <w:link w:val="CommentText"/>
    <w:uiPriority w:val="99"/>
    <w:semiHidden/>
    <w:rsid w:val="00A44AE9"/>
    <w:rPr>
      <w:sz w:val="20"/>
      <w:szCs w:val="20"/>
    </w:rPr>
  </w:style>
  <w:style w:type="paragraph" w:styleId="CommentSubject">
    <w:name w:val="annotation subject"/>
    <w:basedOn w:val="CommentText"/>
    <w:next w:val="CommentText"/>
    <w:link w:val="CommentSubjectChar"/>
    <w:uiPriority w:val="99"/>
    <w:semiHidden/>
    <w:unhideWhenUsed/>
    <w:rsid w:val="00A44AE9"/>
    <w:rPr>
      <w:b/>
      <w:bCs/>
    </w:rPr>
  </w:style>
  <w:style w:type="character" w:customStyle="1" w:styleId="CommentSubjectChar">
    <w:name w:val="Comment Subject Char"/>
    <w:basedOn w:val="CommentTextChar"/>
    <w:link w:val="CommentSubject"/>
    <w:uiPriority w:val="99"/>
    <w:semiHidden/>
    <w:rsid w:val="00A44AE9"/>
    <w:rPr>
      <w:b/>
      <w:bCs/>
      <w:sz w:val="20"/>
      <w:szCs w:val="20"/>
    </w:rPr>
  </w:style>
  <w:style w:type="character" w:styleId="Hyperlink">
    <w:name w:val="Hyperlink"/>
    <w:basedOn w:val="DefaultParagraphFont"/>
    <w:uiPriority w:val="99"/>
    <w:unhideWhenUsed/>
    <w:rsid w:val="00072955"/>
    <w:rPr>
      <w:color w:val="0563C1" w:themeColor="hyperlink"/>
      <w:u w:val="single"/>
    </w:rPr>
  </w:style>
  <w:style w:type="character" w:customStyle="1" w:styleId="UnresolvedMention">
    <w:name w:val="Unresolved Mention"/>
    <w:basedOn w:val="DefaultParagraphFont"/>
    <w:uiPriority w:val="99"/>
    <w:semiHidden/>
    <w:unhideWhenUsed/>
    <w:rsid w:val="000729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