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5C33D8" w:rsidRPr="006A36F5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09113F">
        <w:rPr>
          <w:b/>
          <w:szCs w:val="24"/>
        </w:rPr>
        <w:t>30</w:t>
      </w:r>
      <w:r w:rsidR="00D72DA5">
        <w:rPr>
          <w:b/>
          <w:szCs w:val="24"/>
        </w:rPr>
        <w:t>98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D72DA5">
        <w:rPr>
          <w:b/>
          <w:szCs w:val="24"/>
        </w:rPr>
        <w:t>July 2</w:t>
      </w:r>
      <w:r w:rsidR="00ED111B">
        <w:rPr>
          <w:b/>
          <w:szCs w:val="24"/>
        </w:rPr>
        <w:t>, 2018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3C31FA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771C4B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894307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622459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22459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B90ABB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2" w:name="insertion_pt"/>
      <w:bookmarkEnd w:id="2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ED111B" w:rsidP="00DE2DA6">
      <w:pPr>
        <w:ind w:left="1080" w:hanging="1080"/>
        <w:rPr>
          <w:rFonts w:ascii="Times" w:hAnsi="Times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DE2DA6">
        <w:rPr>
          <w:rFonts w:eastAsia="MingLiU"/>
          <w:bCs/>
          <w:color w:val="010101"/>
          <w:szCs w:val="24"/>
        </w:rPr>
        <w:t>In</w:t>
      </w:r>
      <w:r w:rsidR="00DE2DA6">
        <w:rPr>
          <w:rFonts w:eastAsia="MingLiU"/>
          <w:bCs/>
          <w:color w:val="010101"/>
          <w:szCs w:val="24"/>
        </w:rPr>
        <w:t xml:space="preserve"> the Matter of </w:t>
      </w:r>
      <w:r w:rsidR="00D72DA5">
        <w:rPr>
          <w:rFonts w:eastAsia="MingLiU"/>
          <w:bCs/>
          <w:color w:val="010101"/>
          <w:szCs w:val="24"/>
        </w:rPr>
        <w:t>Rural Call Completion (WC Docket No. 13-39)</w:t>
      </w:r>
    </w:p>
    <w:p w:rsidR="00ED111B" w:rsidP="00140FF8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ED111B" w:rsidP="00DE2DA6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D72DA5">
        <w:rPr>
          <w:rFonts w:ascii="Times" w:hAnsi="Times"/>
          <w:bCs/>
          <w:color w:val="010101"/>
          <w:szCs w:val="24"/>
        </w:rPr>
        <w:t>Michael R. Romano</w:t>
      </w:r>
      <w:r w:rsidRPr="004A7C1A" w:rsidR="004A7C1A">
        <w:rPr>
          <w:rFonts w:ascii="Times" w:hAnsi="Times"/>
          <w:bCs/>
          <w:color w:val="010101"/>
          <w:szCs w:val="24"/>
        </w:rPr>
        <w:t xml:space="preserve">, on behalf of </w:t>
      </w:r>
      <w:r w:rsidR="00DE2DA6">
        <w:rPr>
          <w:rFonts w:ascii="Times" w:hAnsi="Times"/>
          <w:bCs/>
          <w:color w:val="010101"/>
          <w:szCs w:val="24"/>
        </w:rPr>
        <w:t>N</w:t>
      </w:r>
      <w:r w:rsidR="002B5A56">
        <w:rPr>
          <w:rFonts w:ascii="Times" w:hAnsi="Times"/>
          <w:bCs/>
          <w:color w:val="010101"/>
          <w:szCs w:val="24"/>
        </w:rPr>
        <w:t>TCA</w:t>
      </w:r>
      <w:r w:rsidR="00DE2DA6">
        <w:rPr>
          <w:rFonts w:ascii="Times" w:hAnsi="Times"/>
          <w:bCs/>
          <w:color w:val="010101"/>
          <w:szCs w:val="24"/>
        </w:rPr>
        <w:t xml:space="preserve">-The </w:t>
      </w:r>
      <w:r w:rsidR="00D72DA5">
        <w:rPr>
          <w:rFonts w:ascii="Times" w:hAnsi="Times"/>
          <w:bCs/>
          <w:color w:val="010101"/>
          <w:szCs w:val="24"/>
        </w:rPr>
        <w:t>Rural Broadband Association (“NTCA”)</w:t>
      </w:r>
      <w:r w:rsidR="00DE2DA6">
        <w:rPr>
          <w:rFonts w:ascii="Times" w:hAnsi="Times"/>
          <w:bCs/>
          <w:color w:val="010101"/>
          <w:szCs w:val="24"/>
        </w:rPr>
        <w:t xml:space="preserve"> </w:t>
      </w:r>
    </w:p>
    <w:p w:rsidR="00DE2DA6" w:rsidP="00DE2DA6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 (</w:t>
      </w:r>
      <w:r w:rsidR="00D72DA5">
        <w:rPr>
          <w:rFonts w:ascii="Times" w:hAnsi="Times"/>
          <w:bCs/>
          <w:color w:val="010101"/>
          <w:szCs w:val="24"/>
        </w:rPr>
        <w:t>Filed June 11</w:t>
      </w:r>
      <w:r>
        <w:rPr>
          <w:rFonts w:ascii="Times" w:hAnsi="Times"/>
          <w:bCs/>
          <w:color w:val="010101"/>
          <w:szCs w:val="24"/>
        </w:rPr>
        <w:t>, 2018)</w:t>
      </w:r>
    </w:p>
    <w:p w:rsidR="005967ED" w:rsidRPr="002B5A56" w:rsidP="002B5A56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  <w:r w:rsidRPr="002B5A56">
        <w:rPr>
          <w:rFonts w:ascii="Times" w:hAnsi="Times"/>
          <w:bCs/>
          <w:color w:val="010101"/>
          <w:szCs w:val="24"/>
        </w:rPr>
        <w:t xml:space="preserve"> </w:t>
      </w:r>
      <w:r>
        <w:rPr>
          <w:rFonts w:ascii="Times" w:hAnsi="Times"/>
          <w:bCs/>
          <w:color w:val="010101"/>
          <w:szCs w:val="24"/>
        </w:rPr>
        <w:t xml:space="preserve">                - </w:t>
      </w:r>
      <w:r w:rsidRPr="002B5A56" w:rsidR="00D72DA5">
        <w:rPr>
          <w:rFonts w:ascii="Times" w:hAnsi="Times"/>
          <w:bCs/>
          <w:color w:val="010101"/>
          <w:szCs w:val="24"/>
        </w:rPr>
        <w:t xml:space="preserve">Kevin G. </w:t>
      </w:r>
      <w:r w:rsidRPr="002B5A56" w:rsidR="00D72DA5">
        <w:rPr>
          <w:rFonts w:ascii="Times" w:hAnsi="Times"/>
          <w:bCs/>
          <w:color w:val="010101"/>
          <w:szCs w:val="24"/>
        </w:rPr>
        <w:t>Rupy</w:t>
      </w:r>
      <w:r w:rsidRPr="002B5A56" w:rsidR="00ED111B">
        <w:rPr>
          <w:rFonts w:ascii="Times" w:hAnsi="Times"/>
          <w:bCs/>
          <w:color w:val="010101"/>
          <w:szCs w:val="24"/>
        </w:rPr>
        <w:t>, on behalf</w:t>
      </w:r>
      <w:r w:rsidRPr="002B5A56" w:rsidR="00DE2DA6">
        <w:rPr>
          <w:rFonts w:ascii="Times" w:hAnsi="Times"/>
          <w:bCs/>
          <w:color w:val="010101"/>
          <w:szCs w:val="24"/>
        </w:rPr>
        <w:t xml:space="preserve"> of </w:t>
      </w:r>
      <w:r w:rsidRPr="002B5A56" w:rsidR="00D72DA5">
        <w:rPr>
          <w:rFonts w:ascii="Times" w:hAnsi="Times"/>
          <w:bCs/>
          <w:color w:val="010101"/>
          <w:szCs w:val="24"/>
        </w:rPr>
        <w:t>USTelecom</w:t>
      </w:r>
      <w:r w:rsidRPr="002B5A56" w:rsidR="00D72DA5">
        <w:rPr>
          <w:rFonts w:ascii="Times" w:hAnsi="Times"/>
          <w:bCs/>
          <w:color w:val="010101"/>
          <w:szCs w:val="24"/>
        </w:rPr>
        <w:t>-The Broadb</w:t>
      </w:r>
      <w:r>
        <w:rPr>
          <w:rFonts w:ascii="Times" w:hAnsi="Times"/>
          <w:bCs/>
          <w:color w:val="010101"/>
          <w:szCs w:val="24"/>
        </w:rPr>
        <w:t xml:space="preserve">and Association (Filed June 11, </w:t>
      </w:r>
      <w:bookmarkStart w:id="3" w:name="_GoBack"/>
      <w:bookmarkEnd w:id="3"/>
      <w:r w:rsidRPr="002B5A56" w:rsidR="00D72DA5">
        <w:rPr>
          <w:rFonts w:ascii="Times" w:hAnsi="Times"/>
          <w:bCs/>
          <w:color w:val="010101"/>
          <w:szCs w:val="24"/>
        </w:rPr>
        <w:t>2018)</w:t>
      </w:r>
    </w:p>
    <w:p w:rsidR="00140FF8" w:rsidRPr="00DE11DB" w:rsidP="00E83191">
      <w:pPr>
        <w:widowControl/>
        <w:autoSpaceDE w:val="0"/>
        <w:autoSpaceDN w:val="0"/>
        <w:adjustRightInd w:val="0"/>
        <w:rPr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</w:t>
      </w:r>
    </w:p>
    <w:p w:rsidR="005C33D8" w:rsidP="00140FF8">
      <w:pPr>
        <w:widowControl/>
        <w:autoSpaceDE w:val="0"/>
        <w:autoSpaceDN w:val="0"/>
        <w:adjustRightInd w:val="0"/>
        <w:sectPr w:rsidSect="006707AE">
          <w:headerReference w:type="first" r:id="rId4"/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>
    <w:pPr>
      <w:suppressAutoHyphens/>
      <w:rPr>
        <w:rFonts w:ascii="Arial Narrow" w:hAnsi="Arial Narrow"/>
      </w:rPr>
    </w:pP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News Media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Information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418-0500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Demand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418-2830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BD62E4AD.dotm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