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C58EB" w:rsidP="001C58EB">
      <w:pPr>
        <w:pStyle w:val="Default"/>
        <w:spacing w:line="235" w:lineRule="auto"/>
      </w:pPr>
      <w:r w:rsidRPr="00E238D1">
        <w:rPr>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1C58EB" w:rsidP="001C58EB">
      <w:pPr>
        <w:pStyle w:val="Default"/>
        <w:spacing w:line="235" w:lineRule="auto"/>
      </w:pPr>
    </w:p>
    <w:tbl>
      <w:tblPr>
        <w:tblW w:w="0" w:type="auto"/>
        <w:tblInd w:w="-108" w:type="dxa"/>
        <w:tblBorders>
          <w:top w:val="nil"/>
          <w:left w:val="nil"/>
          <w:bottom w:val="nil"/>
          <w:right w:val="nil"/>
        </w:tblBorders>
        <w:tblLayout w:type="fixed"/>
        <w:tblLook w:val="0000"/>
      </w:tblPr>
      <w:tblGrid>
        <w:gridCol w:w="8410"/>
      </w:tblGrid>
      <w:tr w:rsidTr="00E6243A">
        <w:tblPrEx>
          <w:tblW w:w="0" w:type="auto"/>
          <w:tblInd w:w="-108" w:type="dxa"/>
          <w:tblBorders>
            <w:top w:val="nil"/>
            <w:left w:val="nil"/>
            <w:bottom w:val="nil"/>
            <w:right w:val="nil"/>
          </w:tblBorders>
          <w:tblLayout w:type="fixed"/>
          <w:tblLook w:val="0000"/>
        </w:tblPrEx>
        <w:trPr>
          <w:trHeight w:val="4582"/>
        </w:trPr>
        <w:tc>
          <w:tcPr>
            <w:tcW w:w="8410" w:type="dxa"/>
          </w:tcPr>
          <w:p w:rsidR="001C58EB" w:rsidP="00E6243A">
            <w:pPr>
              <w:pStyle w:val="Default"/>
              <w:spacing w:line="235" w:lineRule="auto"/>
              <w:rPr>
                <w:sz w:val="22"/>
                <w:szCs w:val="22"/>
              </w:rPr>
            </w:pPr>
            <w:r>
              <w:rPr>
                <w:b/>
                <w:bCs/>
                <w:sz w:val="22"/>
                <w:szCs w:val="22"/>
              </w:rPr>
              <w:t xml:space="preserve">Media Contact: </w:t>
            </w:r>
          </w:p>
          <w:p w:rsidR="001C58EB" w:rsidP="00E6243A">
            <w:pPr>
              <w:pStyle w:val="Default"/>
              <w:spacing w:line="235" w:lineRule="auto"/>
              <w:rPr>
                <w:sz w:val="22"/>
                <w:szCs w:val="22"/>
              </w:rPr>
            </w:pPr>
            <w:r>
              <w:rPr>
                <w:sz w:val="22"/>
                <w:szCs w:val="22"/>
              </w:rPr>
              <w:t xml:space="preserve">Evan Swarztrauber, (202) 418-2261 </w:t>
            </w:r>
          </w:p>
          <w:p w:rsidR="001C58EB" w:rsidP="00E6243A">
            <w:pPr>
              <w:pStyle w:val="Default"/>
              <w:spacing w:line="235" w:lineRule="auto"/>
              <w:rPr>
                <w:sz w:val="22"/>
                <w:szCs w:val="22"/>
              </w:rPr>
            </w:pPr>
            <w:r>
              <w:rPr>
                <w:sz w:val="22"/>
                <w:szCs w:val="22"/>
              </w:rPr>
              <w:t xml:space="preserve">evan.swarztrauber@fcc.gov </w:t>
            </w:r>
          </w:p>
          <w:p w:rsidR="001C58EB" w:rsidP="00E6243A">
            <w:pPr>
              <w:pStyle w:val="Default"/>
              <w:spacing w:line="235" w:lineRule="auto"/>
              <w:rPr>
                <w:b/>
                <w:bCs/>
                <w:sz w:val="22"/>
                <w:szCs w:val="22"/>
              </w:rPr>
            </w:pPr>
          </w:p>
          <w:p w:rsidR="001C58EB" w:rsidP="00E6243A">
            <w:pPr>
              <w:pStyle w:val="Default"/>
              <w:spacing w:line="235" w:lineRule="auto"/>
              <w:rPr>
                <w:sz w:val="22"/>
                <w:szCs w:val="22"/>
              </w:rPr>
            </w:pPr>
            <w:r>
              <w:rPr>
                <w:b/>
                <w:bCs/>
                <w:sz w:val="22"/>
                <w:szCs w:val="22"/>
              </w:rPr>
              <w:t xml:space="preserve">For Immediate Release </w:t>
            </w:r>
          </w:p>
          <w:p w:rsidR="001C58EB" w:rsidP="00E6243A">
            <w:pPr>
              <w:pStyle w:val="Default"/>
              <w:spacing w:line="235" w:lineRule="auto"/>
              <w:rPr>
                <w:sz w:val="22"/>
                <w:szCs w:val="22"/>
              </w:rPr>
            </w:pPr>
            <w:r>
              <w:rPr>
                <w:sz w:val="22"/>
                <w:szCs w:val="22"/>
              </w:rPr>
              <w:t xml:space="preserve"> </w:t>
            </w:r>
          </w:p>
          <w:p w:rsidR="001C58EB" w:rsidP="00E6243A">
            <w:pPr>
              <w:spacing w:line="235" w:lineRule="auto"/>
              <w:jc w:val="center"/>
              <w:rPr>
                <w:b/>
                <w:bCs/>
                <w:sz w:val="26"/>
                <w:szCs w:val="26"/>
              </w:rPr>
            </w:pPr>
            <w:r>
              <w:rPr>
                <w:b/>
                <w:bCs/>
                <w:sz w:val="26"/>
                <w:szCs w:val="26"/>
              </w:rPr>
              <w:t>Commissioner Carr Highlights FCC Focus on Telemedicine at UVA Health System</w:t>
            </w:r>
          </w:p>
          <w:p w:rsidR="001C58EB" w:rsidP="00E6243A">
            <w:pPr>
              <w:pStyle w:val="Default"/>
              <w:spacing w:line="235" w:lineRule="auto"/>
              <w:rPr>
                <w:sz w:val="23"/>
                <w:szCs w:val="23"/>
              </w:rPr>
            </w:pPr>
          </w:p>
          <w:p w:rsidR="001C58EB" w:rsidP="00E6243A">
            <w:pPr>
              <w:pStyle w:val="Default"/>
              <w:spacing w:line="235" w:lineRule="auto"/>
              <w:rPr>
                <w:sz w:val="22"/>
                <w:szCs w:val="22"/>
              </w:rPr>
            </w:pPr>
            <w:r>
              <w:rPr>
                <w:sz w:val="22"/>
                <w:szCs w:val="22"/>
              </w:rPr>
              <w:t xml:space="preserve">WASHINGTON, D.C.—On Monday, July 2, FCC Commissioner Brendan Carr </w:t>
            </w:r>
            <w:r>
              <w:fldChar w:fldCharType="begin"/>
            </w:r>
            <w:r>
              <w:instrText xml:space="preserve"> HYPERLINK "https://twitter.com/BrendanCarrFCC/status/1013911658555682821" </w:instrText>
            </w:r>
            <w:r>
              <w:fldChar w:fldCharType="separate"/>
            </w:r>
            <w:r w:rsidRPr="003C5FBB">
              <w:rPr>
                <w:rStyle w:val="Hyperlink"/>
                <w:sz w:val="22"/>
                <w:szCs w:val="22"/>
              </w:rPr>
              <w:t>visited</w:t>
            </w:r>
            <w:r>
              <w:fldChar w:fldCharType="end"/>
            </w:r>
            <w:r>
              <w:rPr>
                <w:sz w:val="22"/>
                <w:szCs w:val="22"/>
              </w:rPr>
              <w:t xml:space="preserve"> the University of Virginia Health System in Charlottesville, Virginia.  Dr. Karen Rheuban, an expert in telehealth, hosted Commissioner Carr at UVA.  The visit focused on how high-speed broadband networks increase access to and lower the cost of healthcare, especially in rural and low-income areas that often lack the same access to affordable healthcare options as those living in other parts of the country.</w:t>
            </w:r>
          </w:p>
          <w:p w:rsidR="001C58EB" w:rsidP="00E6243A">
            <w:pPr>
              <w:pStyle w:val="Default"/>
              <w:spacing w:line="235" w:lineRule="auto"/>
              <w:rPr>
                <w:sz w:val="22"/>
                <w:szCs w:val="22"/>
              </w:rPr>
            </w:pPr>
          </w:p>
          <w:p w:rsidR="001C58EB" w:rsidP="00E6243A">
            <w:pPr>
              <w:pStyle w:val="Default"/>
              <w:spacing w:line="235" w:lineRule="auto"/>
              <w:rPr>
                <w:sz w:val="22"/>
                <w:szCs w:val="22"/>
              </w:rPr>
            </w:pPr>
            <w:r>
              <w:rPr>
                <w:sz w:val="22"/>
                <w:szCs w:val="22"/>
              </w:rPr>
              <w:t>“</w:t>
            </w:r>
            <w:r w:rsidRPr="000C0C34">
              <w:rPr>
                <w:b/>
                <w:sz w:val="22"/>
                <w:szCs w:val="22"/>
              </w:rPr>
              <w:t xml:space="preserve">The current trend in telehealth is a movement from healthcare </w:t>
            </w:r>
            <w:r>
              <w:rPr>
                <w:b/>
                <w:sz w:val="22"/>
                <w:szCs w:val="22"/>
              </w:rPr>
              <w:t xml:space="preserve">delivered </w:t>
            </w:r>
            <w:r w:rsidRPr="000C0C34">
              <w:rPr>
                <w:b/>
                <w:sz w:val="22"/>
                <w:szCs w:val="22"/>
              </w:rPr>
              <w:t>in</w:t>
            </w:r>
            <w:r>
              <w:rPr>
                <w:b/>
                <w:sz w:val="22"/>
                <w:szCs w:val="22"/>
              </w:rPr>
              <w:t>side</w:t>
            </w:r>
            <w:r w:rsidRPr="000C0C34">
              <w:rPr>
                <w:b/>
                <w:sz w:val="22"/>
                <w:szCs w:val="22"/>
              </w:rPr>
              <w:t xml:space="preserve"> brick-and-mortar facilities to connected care everywhere</w:t>
            </w:r>
            <w:r>
              <w:rPr>
                <w:sz w:val="22"/>
                <w:szCs w:val="22"/>
              </w:rPr>
              <w:t>,” said Commissioner Carr.  “Inside hospitals and clinics, patients now have access to the most cutting-edge, broadband-enabled technologies.  And the FCC has played a significant role in helping to support and promote broadband deployments to these facilities.  When patients leave the doors of those facilities, their access to high-tech healthcare services often drops off.  Connected care technologies are helping to fill that gap.  From pediatric cardiology to opioid dependency treatment, remote patient monitoring and mobile health apps can greatly reduce costs and improve outcomes.  Spending time with the teams at UVA helped me learn more about the trend toward connected care everywhere and how the FCC can help promote remote patient monitoring and related telehealth technologies.”</w:t>
            </w:r>
          </w:p>
          <w:p w:rsidR="001C58EB" w:rsidP="00E6243A">
            <w:pPr>
              <w:pStyle w:val="Default"/>
              <w:spacing w:line="235" w:lineRule="auto"/>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156210</wp:posOffset>
                  </wp:positionV>
                  <wp:extent cx="2676525" cy="2004060"/>
                  <wp:effectExtent l="0" t="0" r="9525" b="0"/>
                  <wp:wrapSquare wrapText="bothSides"/>
                  <wp:docPr id="6" name="Picture 6" descr="\\fccnet\users\n16\sayre.swarztrauber\My Documents\DhIFaLwV4AAVB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net\users\n16\sayre.swarztrauber\My Documents\DhIFaLwV4AAVBzJ.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6525"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8EB" w:rsidP="00E6243A">
            <w:pPr>
              <w:pStyle w:val="Default"/>
              <w:spacing w:line="235" w:lineRule="auto"/>
              <w:rPr>
                <w:sz w:val="22"/>
                <w:szCs w:val="22"/>
              </w:rPr>
            </w:pPr>
            <w:r>
              <w:rPr>
                <w:sz w:val="22"/>
                <w:szCs w:val="22"/>
              </w:rPr>
              <w:t xml:space="preserve">Commissioner Carr began his tour at the </w:t>
            </w:r>
            <w:r>
              <w:fldChar w:fldCharType="begin"/>
            </w:r>
            <w:r>
              <w:instrText xml:space="preserve"> HYPERLINK "https://twitter.com/BrendanCarrFCC/status/1013878824419889157" </w:instrText>
            </w:r>
            <w:r>
              <w:fldChar w:fldCharType="separate"/>
            </w:r>
            <w:r w:rsidRPr="00A52B82">
              <w:rPr>
                <w:rStyle w:val="Hyperlink"/>
                <w:sz w:val="22"/>
                <w:szCs w:val="22"/>
              </w:rPr>
              <w:t>UVA’s Children’s Hospital</w:t>
            </w:r>
            <w:r>
              <w:fldChar w:fldCharType="end"/>
            </w:r>
            <w:r>
              <w:rPr>
                <w:sz w:val="22"/>
                <w:szCs w:val="22"/>
              </w:rPr>
              <w:t>, where he learned about their pediatric cardiology program, which brings high-tech care to the home.  With an iPad and a Locus Health app, daily weight, heart rate, and oxygen levels can be tracked remotely, which decreases the need for high-risk pediatric patients to undergo ICU stays and invasive procedures.</w:t>
            </w:r>
          </w:p>
          <w:p w:rsidR="001C58EB" w:rsidP="00E6243A">
            <w:pPr>
              <w:pStyle w:val="Default"/>
              <w:spacing w:line="235" w:lineRule="auto"/>
              <w:rPr>
                <w:sz w:val="22"/>
                <w:szCs w:val="22"/>
              </w:rPr>
            </w:pPr>
          </w:p>
          <w:p w:rsidR="001C58EB" w:rsidP="00E6243A">
            <w:pPr>
              <w:pStyle w:val="Default"/>
              <w:spacing w:line="235" w:lineRule="auto"/>
              <w:rPr>
                <w:sz w:val="22"/>
                <w:szCs w:val="22"/>
              </w:rPr>
            </w:pPr>
            <w:r>
              <w:rPr>
                <w:sz w:val="22"/>
                <w:szCs w:val="22"/>
              </w:rPr>
              <w:t xml:space="preserve">Commissioner Carr then headed to </w:t>
            </w:r>
            <w:r w:rsidRPr="00145A71">
              <w:t>UVA’s Karen S. Rheuban Center for Telehealth</w:t>
            </w:r>
            <w:r>
              <w:rPr>
                <w:sz w:val="22"/>
                <w:szCs w:val="22"/>
              </w:rPr>
              <w:t>, where they use connected insulin pumps and home blood sugar monitors to improve average blood sugars for patients.  Chronic disease management accounts for about 80% of direct healthcare spending.  Diabetes management is an area where remote patient monitoring and connected care can have a big impact.</w:t>
            </w:r>
          </w:p>
          <w:p w:rsidR="001C58EB" w:rsidP="00E6243A">
            <w:pPr>
              <w:pStyle w:val="Default"/>
              <w:spacing w:line="235" w:lineRule="auto"/>
              <w:rPr>
                <w:sz w:val="22"/>
                <w:szCs w:val="22"/>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2730500" cy="2047875"/>
                  <wp:effectExtent l="0" t="0" r="0" b="9525"/>
                  <wp:wrapSquare wrapText="bothSides"/>
                  <wp:docPr id="7" name="Picture 7" descr="https://pbs.twimg.com/media/DhIbw51XUAAmmsC.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hIbw51XUAAmmsC.jpg:larg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305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When treating a stroke, time is brain.  And for every 60 seconds a stroke goes untreated, another two million neurons and seven miles of brain fiber are lost.  </w:t>
            </w:r>
            <w:r>
              <w:fldChar w:fldCharType="begin"/>
            </w:r>
            <w:r>
              <w:instrText xml:space="preserve"> HYPERLINK "https://twitter.com/BrendanCarrFCC/status/1013901538035748865" </w:instrText>
            </w:r>
            <w:r>
              <w:fldChar w:fldCharType="separate"/>
            </w:r>
            <w:r w:rsidRPr="00BF7D1C">
              <w:rPr>
                <w:rStyle w:val="Hyperlink"/>
                <w:sz w:val="22"/>
                <w:szCs w:val="22"/>
              </w:rPr>
              <w:t>UVA’s Telestroke team</w:t>
            </w:r>
            <w:r>
              <w:fldChar w:fldCharType="end"/>
            </w:r>
            <w:r>
              <w:rPr>
                <w:sz w:val="22"/>
                <w:szCs w:val="22"/>
              </w:rPr>
              <w:t xml:space="preserve"> explained how connected technologies are making a difference. They demoed their broadband-enabled connection to a rural facility in Culpeper, VA. Rather than a 45-minute transfer when seconds matter, they start stroke treatment immediately from remote locations.  They have helped an average of 11 patients per month using this connection.</w:t>
            </w:r>
          </w:p>
          <w:p w:rsidR="001C58EB" w:rsidP="00E6243A">
            <w:pPr>
              <w:pStyle w:val="Default"/>
              <w:spacing w:line="235" w:lineRule="auto"/>
              <w:rPr>
                <w:sz w:val="22"/>
                <w:szCs w:val="22"/>
              </w:rPr>
            </w:pPr>
          </w:p>
          <w:p w:rsidR="001C58EB" w:rsidP="00E6243A">
            <w:pPr>
              <w:pStyle w:val="Default"/>
              <w:spacing w:line="235" w:lineRule="auto"/>
              <w:rPr>
                <w:sz w:val="22"/>
                <w:szCs w:val="22"/>
              </w:rPr>
            </w:pPr>
            <w:r>
              <w:rPr>
                <w:sz w:val="22"/>
                <w:szCs w:val="22"/>
              </w:rPr>
              <w:t xml:space="preserve">Commissioner Carr wrapped up the visit with a discussion of how telehealth is also addressing the opioid epidemic, including pain management, education and psychiatry work.  </w:t>
            </w:r>
            <w:r>
              <w:fldChar w:fldCharType="begin"/>
            </w:r>
            <w:r>
              <w:instrText xml:space="preserve"> HYPERLINK "https://twitter.com/BrendanCarrFCC/status/1013908175098142721" </w:instrText>
            </w:r>
            <w:r>
              <w:fldChar w:fldCharType="separate"/>
            </w:r>
            <w:r w:rsidRPr="003C5FBB">
              <w:rPr>
                <w:rStyle w:val="Hyperlink"/>
                <w:sz w:val="22"/>
                <w:szCs w:val="22"/>
              </w:rPr>
              <w:t>UVA’s Dr. Tirouririne and Dr. Salajegheh</w:t>
            </w:r>
            <w:r>
              <w:fldChar w:fldCharType="end"/>
            </w:r>
            <w:r>
              <w:rPr>
                <w:sz w:val="22"/>
                <w:szCs w:val="22"/>
              </w:rPr>
              <w:t xml:space="preserve"> explained how they’re using broadband connections to bring specialist care to remote and rural communities and decreasing the use and dependency on opiods.</w:t>
            </w:r>
          </w:p>
          <w:p w:rsidR="001C58EB" w:rsidP="00E6243A">
            <w:pPr>
              <w:pStyle w:val="Default"/>
              <w:spacing w:line="235" w:lineRule="auto"/>
              <w:rPr>
                <w:sz w:val="22"/>
                <w:szCs w:val="22"/>
              </w:rPr>
            </w:pPr>
          </w:p>
          <w:p w:rsidR="001C58EB" w:rsidP="00E6243A">
            <w:pPr>
              <w:pStyle w:val="Default"/>
              <w:spacing w:line="235" w:lineRule="auto"/>
              <w:rPr>
                <w:sz w:val="22"/>
                <w:szCs w:val="22"/>
              </w:rPr>
            </w:pPr>
            <w:r>
              <w:rPr>
                <w:sz w:val="22"/>
                <w:szCs w:val="22"/>
              </w:rPr>
              <w:t>Press coverage of Carr’s trip:</w:t>
            </w:r>
          </w:p>
          <w:p w:rsidR="001C58EB" w:rsidP="00E6243A">
            <w:pPr>
              <w:pStyle w:val="Default"/>
              <w:spacing w:line="235" w:lineRule="auto"/>
              <w:rPr>
                <w:sz w:val="22"/>
                <w:szCs w:val="22"/>
              </w:rPr>
            </w:pPr>
            <w:r>
              <w:rPr>
                <w:sz w:val="22"/>
                <w:szCs w:val="22"/>
              </w:rPr>
              <w:tab/>
            </w:r>
          </w:p>
          <w:p w:rsidR="001C58EB" w:rsidP="00E6243A">
            <w:pPr>
              <w:pStyle w:val="Default"/>
              <w:spacing w:line="235" w:lineRule="auto"/>
              <w:rPr>
                <w:sz w:val="22"/>
                <w:szCs w:val="22"/>
              </w:rPr>
            </w:pPr>
            <w:r>
              <w:rPr>
                <w:sz w:val="22"/>
                <w:szCs w:val="22"/>
              </w:rPr>
              <w:tab/>
              <w:t>“</w:t>
            </w:r>
            <w:r w:rsidRPr="0008069D">
              <w:rPr>
                <w:sz w:val="22"/>
                <w:szCs w:val="22"/>
              </w:rPr>
              <w:t>FCC Explores Ways to Expand UVA Health Care to Rural Areas</w:t>
            </w:r>
            <w:r>
              <w:rPr>
                <w:sz w:val="22"/>
                <w:szCs w:val="22"/>
              </w:rPr>
              <w:t xml:space="preserve">,” </w:t>
            </w:r>
            <w:r>
              <w:fldChar w:fldCharType="begin"/>
            </w:r>
            <w:r>
              <w:instrText xml:space="preserve"> HYPERLINK "http://www.nbc29.com/story/38558992/fcc-explores-ways-to-expand-uva-health-care-to-rural-areas" </w:instrText>
            </w:r>
            <w:r>
              <w:fldChar w:fldCharType="separate"/>
            </w:r>
            <w:r w:rsidRPr="0008069D">
              <w:rPr>
                <w:rStyle w:val="Hyperlink"/>
                <w:i/>
                <w:sz w:val="22"/>
                <w:szCs w:val="22"/>
              </w:rPr>
              <w:t>NBC</w:t>
            </w:r>
            <w:r w:rsidRPr="0008069D">
              <w:rPr>
                <w:rStyle w:val="Hyperlink"/>
                <w:i/>
                <w:sz w:val="22"/>
                <w:szCs w:val="22"/>
              </w:rPr>
              <w:t xml:space="preserve"> </w:t>
            </w:r>
            <w:r w:rsidRPr="0008069D">
              <w:rPr>
                <w:rStyle w:val="Hyperlink"/>
                <w:i/>
                <w:sz w:val="22"/>
                <w:szCs w:val="22"/>
              </w:rPr>
              <w:t>29</w:t>
            </w:r>
            <w:r>
              <w:fldChar w:fldCharType="end"/>
            </w:r>
          </w:p>
          <w:p w:rsidR="001C58EB" w:rsidP="00E6243A">
            <w:pPr>
              <w:pStyle w:val="Default"/>
              <w:spacing w:line="235" w:lineRule="auto"/>
              <w:rPr>
                <w:sz w:val="22"/>
                <w:szCs w:val="22"/>
              </w:rPr>
            </w:pPr>
          </w:p>
          <w:p w:rsidR="001C58EB" w:rsidP="00E6243A">
            <w:pPr>
              <w:pStyle w:val="Default"/>
              <w:spacing w:line="235" w:lineRule="auto"/>
              <w:ind w:left="720"/>
              <w:rPr>
                <w:sz w:val="22"/>
                <w:szCs w:val="22"/>
              </w:rPr>
            </w:pPr>
            <w:r w:rsidRPr="0008069D">
              <w:rPr>
                <w:i/>
                <w:sz w:val="22"/>
                <w:szCs w:val="22"/>
              </w:rPr>
              <w:t>“</w:t>
            </w:r>
            <w:r w:rsidRPr="005E235D">
              <w:rPr>
                <w:i/>
                <w:sz w:val="22"/>
                <w:szCs w:val="22"/>
              </w:rPr>
              <w:t xml:space="preserve">What we’re now seeing is a new trend, which is </w:t>
            </w:r>
            <w:r>
              <w:rPr>
                <w:i/>
                <w:sz w:val="22"/>
                <w:szCs w:val="22"/>
              </w:rPr>
              <w:t>this movement towards connected c</w:t>
            </w:r>
            <w:r w:rsidRPr="005E235D">
              <w:rPr>
                <w:i/>
                <w:sz w:val="22"/>
                <w:szCs w:val="22"/>
              </w:rPr>
              <w:t>are or care everywhere</w:t>
            </w:r>
            <w:r>
              <w:rPr>
                <w:i/>
                <w:sz w:val="22"/>
                <w:szCs w:val="22"/>
              </w:rPr>
              <w:t>,</w:t>
            </w:r>
            <w:r w:rsidRPr="005E235D">
              <w:rPr>
                <w:i/>
                <w:sz w:val="22"/>
                <w:szCs w:val="22"/>
              </w:rPr>
              <w:t>”</w:t>
            </w:r>
            <w:r>
              <w:rPr>
                <w:i/>
                <w:sz w:val="22"/>
                <w:szCs w:val="22"/>
              </w:rPr>
              <w:t xml:space="preserve"> Carr said.  On his visit, Carr stated “t</w:t>
            </w:r>
            <w:r w:rsidRPr="005E235D">
              <w:rPr>
                <w:i/>
                <w:sz w:val="22"/>
                <w:szCs w:val="22"/>
              </w:rPr>
              <w:t>his is part of us learning &amp; seeing how can we support that movement of getting more connections everywhere.</w:t>
            </w:r>
            <w:r>
              <w:rPr>
                <w:sz w:val="22"/>
                <w:szCs w:val="22"/>
              </w:rPr>
              <w:t>”</w:t>
            </w:r>
          </w:p>
          <w:p w:rsidR="001C58EB" w:rsidP="00E6243A">
            <w:pPr>
              <w:pStyle w:val="Default"/>
              <w:spacing w:line="235" w:lineRule="auto"/>
              <w:ind w:left="720"/>
              <w:rPr>
                <w:sz w:val="22"/>
                <w:szCs w:val="22"/>
              </w:rPr>
            </w:pPr>
          </w:p>
          <w:p w:rsidR="001C58EB" w:rsidP="00E6243A">
            <w:pPr>
              <w:pStyle w:val="Default"/>
              <w:spacing w:line="235" w:lineRule="auto"/>
              <w:rPr>
                <w:sz w:val="22"/>
                <w:szCs w:val="22"/>
              </w:rPr>
            </w:pPr>
            <w:r>
              <w:rPr>
                <w:sz w:val="22"/>
                <w:szCs w:val="22"/>
              </w:rPr>
              <w:tab/>
              <w:t>“FCC visits UVA</w:t>
            </w:r>
            <w:r w:rsidRPr="00B469AE">
              <w:rPr>
                <w:sz w:val="22"/>
                <w:szCs w:val="22"/>
              </w:rPr>
              <w:t xml:space="preserve"> to learn more about telemedicine</w:t>
            </w:r>
            <w:r>
              <w:rPr>
                <w:sz w:val="22"/>
                <w:szCs w:val="22"/>
              </w:rPr>
              <w:t xml:space="preserve">,” </w:t>
            </w:r>
            <w:r>
              <w:fldChar w:fldCharType="begin"/>
            </w:r>
            <w:r>
              <w:instrText xml:space="preserve"> HYPERLINK "https://www.dailyprogress.com/news/local/fcc-chief-visits-uva-to-learn-more-about-telemedicine/article_d7849c08-7e5a-11e8-96ce-5f73d748f7d0.html" </w:instrText>
            </w:r>
            <w:r>
              <w:fldChar w:fldCharType="separate"/>
            </w:r>
            <w:r w:rsidRPr="00B469AE">
              <w:rPr>
                <w:rStyle w:val="Hyperlink"/>
                <w:i/>
                <w:sz w:val="22"/>
                <w:szCs w:val="22"/>
              </w:rPr>
              <w:t>Daily Progress</w:t>
            </w:r>
            <w:r>
              <w:fldChar w:fldCharType="end"/>
            </w:r>
          </w:p>
          <w:p w:rsidR="001C58EB" w:rsidP="00E6243A">
            <w:pPr>
              <w:pStyle w:val="Default"/>
              <w:spacing w:line="235" w:lineRule="auto"/>
              <w:rPr>
                <w:sz w:val="22"/>
                <w:szCs w:val="22"/>
              </w:rPr>
            </w:pPr>
          </w:p>
          <w:p w:rsidR="001C58EB" w:rsidRPr="0008069D" w:rsidP="00E6243A">
            <w:pPr>
              <w:pStyle w:val="Default"/>
              <w:spacing w:line="235" w:lineRule="auto"/>
              <w:rPr>
                <w:i/>
                <w:sz w:val="22"/>
                <w:szCs w:val="22"/>
              </w:rPr>
            </w:pPr>
            <w:r>
              <w:rPr>
                <w:sz w:val="22"/>
                <w:szCs w:val="22"/>
              </w:rPr>
              <w:tab/>
            </w:r>
            <w:r w:rsidRPr="0008069D">
              <w:rPr>
                <w:i/>
                <w:sz w:val="22"/>
                <w:szCs w:val="22"/>
              </w:rPr>
              <w:t xml:space="preserve">“There’s a lot that we do that tangentially benefits this,” Carr said. “But I’ve </w:t>
            </w:r>
            <w:r w:rsidRPr="0008069D">
              <w:rPr>
                <w:i/>
                <w:sz w:val="22"/>
                <w:szCs w:val="22"/>
              </w:rPr>
              <w:tab/>
              <w:t xml:space="preserve">been thinking about if there’s more that we can do in this connected care model, this </w:t>
            </w:r>
            <w:r w:rsidRPr="0008069D">
              <w:rPr>
                <w:i/>
                <w:sz w:val="22"/>
                <w:szCs w:val="22"/>
              </w:rPr>
              <w:tab/>
              <w:t>role of health care, for us as a commission to continue to support these efforts.”</w:t>
            </w:r>
          </w:p>
          <w:p w:rsidR="001C58EB" w:rsidP="00E6243A">
            <w:pPr>
              <w:pStyle w:val="Default"/>
              <w:spacing w:line="235" w:lineRule="auto"/>
              <w:rPr>
                <w:sz w:val="22"/>
                <w:szCs w:val="22"/>
              </w:rPr>
            </w:pPr>
          </w:p>
          <w:p w:rsidR="001C58EB" w:rsidP="00E6243A">
            <w:pPr>
              <w:pStyle w:val="Default"/>
              <w:spacing w:line="235" w:lineRule="auto"/>
              <w:rPr>
                <w:sz w:val="22"/>
                <w:szCs w:val="22"/>
              </w:rPr>
            </w:pPr>
            <w:r>
              <w:rPr>
                <w:sz w:val="22"/>
                <w:szCs w:val="22"/>
              </w:rPr>
              <w:t xml:space="preserve">To see more of the trip, follow Commissioner Carr on Twitter </w:t>
            </w:r>
            <w:r>
              <w:fldChar w:fldCharType="begin"/>
            </w:r>
            <w:r>
              <w:instrText xml:space="preserve"> HYPERLINK "https://twitter.com/BrendanCarrFCC/status/1013901538035748865" </w:instrText>
            </w:r>
            <w:r>
              <w:fldChar w:fldCharType="separate"/>
            </w:r>
            <w:r w:rsidRPr="003C5FBB">
              <w:rPr>
                <w:rStyle w:val="Hyperlink"/>
                <w:sz w:val="22"/>
                <w:szCs w:val="22"/>
              </w:rPr>
              <w:t>@BrendanCarrFCC</w:t>
            </w:r>
            <w:r>
              <w:fldChar w:fldCharType="end"/>
            </w:r>
            <w:r>
              <w:rPr>
                <w:sz w:val="22"/>
                <w:szCs w:val="22"/>
              </w:rPr>
              <w:t xml:space="preserve"> and check out </w:t>
            </w:r>
            <w:r>
              <w:fldChar w:fldCharType="begin"/>
            </w:r>
            <w:r>
              <w:instrText xml:space="preserve"> HYPERLINK "https://twitter.com/hashtag/CarrTrip?src=hash" </w:instrText>
            </w:r>
            <w:r>
              <w:fldChar w:fldCharType="separate"/>
            </w:r>
            <w:r w:rsidRPr="003C5FBB">
              <w:rPr>
                <w:rStyle w:val="Hyperlink"/>
                <w:sz w:val="22"/>
                <w:szCs w:val="22"/>
              </w:rPr>
              <w:t>#CarrTrip</w:t>
            </w:r>
            <w:r>
              <w:fldChar w:fldCharType="end"/>
            </w:r>
            <w:r>
              <w:rPr>
                <w:sz w:val="22"/>
                <w:szCs w:val="22"/>
              </w:rPr>
              <w:t xml:space="preserve">.  For press inquiries, contact Evan Swarztrauber at </w:t>
            </w:r>
            <w:r>
              <w:fldChar w:fldCharType="begin"/>
            </w:r>
            <w:r>
              <w:instrText xml:space="preserve"> HYPERLINK "mailto:evan.swarztrauber@fcc.gov" </w:instrText>
            </w:r>
            <w:r>
              <w:fldChar w:fldCharType="separate"/>
            </w:r>
            <w:r w:rsidRPr="00762729">
              <w:rPr>
                <w:rStyle w:val="Hyperlink"/>
                <w:sz w:val="22"/>
                <w:szCs w:val="22"/>
              </w:rPr>
              <w:t>evan.swarztrauber@fcc.gov</w:t>
            </w:r>
            <w:r>
              <w:fldChar w:fldCharType="end"/>
            </w:r>
            <w:r>
              <w:rPr>
                <w:sz w:val="22"/>
                <w:szCs w:val="22"/>
              </w:rPr>
              <w:t xml:space="preserve"> or (202) 418-2261.</w:t>
            </w:r>
          </w:p>
          <w:p w:rsidR="001C58EB" w:rsidP="00E6243A">
            <w:pPr>
              <w:pStyle w:val="Default"/>
              <w:spacing w:line="235" w:lineRule="auto"/>
              <w:rPr>
                <w:sz w:val="22"/>
                <w:szCs w:val="22"/>
              </w:rPr>
            </w:pPr>
          </w:p>
          <w:p w:rsidR="001C58EB" w:rsidP="00E6243A">
            <w:pPr>
              <w:pStyle w:val="Default"/>
              <w:spacing w:line="235" w:lineRule="auto"/>
              <w:jc w:val="center"/>
              <w:rPr>
                <w:sz w:val="22"/>
                <w:szCs w:val="22"/>
              </w:rPr>
            </w:pPr>
            <w:r>
              <w:rPr>
                <w:sz w:val="22"/>
                <w:szCs w:val="22"/>
              </w:rPr>
              <w:t>###</w:t>
            </w:r>
          </w:p>
          <w:p w:rsidR="001C58EB" w:rsidP="00E6243A">
            <w:pPr>
              <w:pStyle w:val="Default"/>
              <w:spacing w:line="235" w:lineRule="auto"/>
              <w:rPr>
                <w:sz w:val="22"/>
                <w:szCs w:val="22"/>
              </w:rPr>
            </w:pPr>
          </w:p>
          <w:tbl>
            <w:tblPr>
              <w:tblW w:w="0" w:type="auto"/>
              <w:tblBorders>
                <w:top w:val="nil"/>
                <w:left w:val="nil"/>
                <w:bottom w:val="nil"/>
                <w:right w:val="nil"/>
              </w:tblBorders>
              <w:tblLayout w:type="fixed"/>
              <w:tblLook w:val="0000"/>
            </w:tblPr>
            <w:tblGrid>
              <w:gridCol w:w="7578"/>
            </w:tblGrid>
            <w:tr w:rsidTr="00E6243A">
              <w:tblPrEx>
                <w:tblW w:w="0" w:type="auto"/>
                <w:tblBorders>
                  <w:top w:val="nil"/>
                  <w:left w:val="nil"/>
                  <w:bottom w:val="nil"/>
                  <w:right w:val="nil"/>
                </w:tblBorders>
                <w:tblLayout w:type="fixed"/>
                <w:tblLook w:val="0000"/>
              </w:tblPrEx>
              <w:trPr>
                <w:trHeight w:val="783"/>
              </w:trPr>
              <w:tc>
                <w:tcPr>
                  <w:tcW w:w="7578" w:type="dxa"/>
                </w:tcPr>
                <w:p w:rsidR="001C58EB" w:rsidRPr="00CF049B" w:rsidP="00E6243A">
                  <w:pPr>
                    <w:autoSpaceDE w:val="0"/>
                    <w:autoSpaceDN w:val="0"/>
                    <w:adjustRightInd w:val="0"/>
                    <w:spacing w:line="235" w:lineRule="auto"/>
                    <w:jc w:val="center"/>
                    <w:rPr>
                      <w:rFonts w:eastAsiaTheme="minorHAnsi"/>
                      <w:color w:val="000000"/>
                      <w:sz w:val="18"/>
                      <w:szCs w:val="18"/>
                    </w:rPr>
                  </w:pPr>
                  <w:r w:rsidRPr="00CF049B">
                    <w:rPr>
                      <w:rFonts w:eastAsiaTheme="minorHAnsi"/>
                      <w:b/>
                      <w:bCs/>
                      <w:color w:val="000000"/>
                      <w:sz w:val="18"/>
                      <w:szCs w:val="18"/>
                    </w:rPr>
                    <w:t>Office of Commissioner Brendan Carr: (202) 418-2200</w:t>
                  </w:r>
                </w:p>
                <w:p w:rsidR="001C58EB" w:rsidRPr="00CF049B" w:rsidP="00E6243A">
                  <w:pPr>
                    <w:autoSpaceDE w:val="0"/>
                    <w:autoSpaceDN w:val="0"/>
                    <w:adjustRightInd w:val="0"/>
                    <w:spacing w:line="235" w:lineRule="auto"/>
                    <w:jc w:val="center"/>
                    <w:rPr>
                      <w:rFonts w:eastAsiaTheme="minorHAnsi"/>
                      <w:color w:val="000000"/>
                      <w:sz w:val="18"/>
                      <w:szCs w:val="18"/>
                    </w:rPr>
                  </w:pPr>
                  <w:r w:rsidRPr="00CF049B">
                    <w:rPr>
                      <w:rFonts w:eastAsiaTheme="minorHAnsi"/>
                      <w:b/>
                      <w:bCs/>
                      <w:color w:val="000000"/>
                      <w:sz w:val="18"/>
                      <w:szCs w:val="18"/>
                    </w:rPr>
                    <w:t>ASL Videophone: (844) 432-2275</w:t>
                  </w:r>
                </w:p>
                <w:p w:rsidR="001C58EB" w:rsidRPr="00CF049B" w:rsidP="00E6243A">
                  <w:pPr>
                    <w:autoSpaceDE w:val="0"/>
                    <w:autoSpaceDN w:val="0"/>
                    <w:adjustRightInd w:val="0"/>
                    <w:spacing w:line="235" w:lineRule="auto"/>
                    <w:jc w:val="center"/>
                    <w:rPr>
                      <w:rFonts w:eastAsiaTheme="minorHAnsi"/>
                      <w:color w:val="000000"/>
                      <w:sz w:val="18"/>
                      <w:szCs w:val="18"/>
                    </w:rPr>
                  </w:pPr>
                  <w:r w:rsidRPr="00CF049B">
                    <w:rPr>
                      <w:rFonts w:eastAsiaTheme="minorHAnsi"/>
                      <w:b/>
                      <w:bCs/>
                      <w:color w:val="000000"/>
                      <w:sz w:val="18"/>
                      <w:szCs w:val="18"/>
                    </w:rPr>
                    <w:t>TTY: (888) 835-5322</w:t>
                  </w:r>
                </w:p>
                <w:p w:rsidR="001C58EB" w:rsidRPr="00CF049B" w:rsidP="00E6243A">
                  <w:pPr>
                    <w:autoSpaceDE w:val="0"/>
                    <w:autoSpaceDN w:val="0"/>
                    <w:adjustRightInd w:val="0"/>
                    <w:spacing w:line="235" w:lineRule="auto"/>
                    <w:jc w:val="center"/>
                    <w:rPr>
                      <w:rFonts w:eastAsiaTheme="minorHAnsi"/>
                      <w:color w:val="000000"/>
                      <w:sz w:val="18"/>
                      <w:szCs w:val="18"/>
                    </w:rPr>
                  </w:pPr>
                  <w:r w:rsidRPr="00CF049B">
                    <w:rPr>
                      <w:rFonts w:eastAsiaTheme="minorHAnsi"/>
                      <w:b/>
                      <w:bCs/>
                      <w:color w:val="000000"/>
                      <w:sz w:val="18"/>
                      <w:szCs w:val="18"/>
                    </w:rPr>
                    <w:t>Twitter: @BrendanCarrFCC</w:t>
                  </w:r>
                </w:p>
                <w:p w:rsidR="001C58EB" w:rsidP="00E6243A">
                  <w:pPr>
                    <w:autoSpaceDE w:val="0"/>
                    <w:autoSpaceDN w:val="0"/>
                    <w:adjustRightInd w:val="0"/>
                    <w:spacing w:line="235" w:lineRule="auto"/>
                    <w:jc w:val="center"/>
                    <w:rPr>
                      <w:rFonts w:eastAsiaTheme="minorHAnsi"/>
                      <w:b/>
                      <w:bCs/>
                      <w:color w:val="000000"/>
                      <w:sz w:val="18"/>
                      <w:szCs w:val="18"/>
                    </w:rPr>
                  </w:pPr>
                  <w:r w:rsidRPr="00CF049B">
                    <w:rPr>
                      <w:rFonts w:eastAsiaTheme="minorHAnsi"/>
                      <w:color w:val="000000"/>
                      <w:sz w:val="18"/>
                      <w:szCs w:val="18"/>
                    </w:rPr>
                    <w:t>www.fcc.gov/about/leadership/brendan-carr</w:t>
                  </w:r>
                </w:p>
                <w:p w:rsidR="001C58EB" w:rsidRPr="00CF049B" w:rsidP="00E6243A">
                  <w:pPr>
                    <w:autoSpaceDE w:val="0"/>
                    <w:autoSpaceDN w:val="0"/>
                    <w:adjustRightInd w:val="0"/>
                    <w:spacing w:line="235" w:lineRule="auto"/>
                    <w:jc w:val="center"/>
                    <w:rPr>
                      <w:rFonts w:eastAsiaTheme="minorHAnsi"/>
                      <w:color w:val="000000"/>
                      <w:sz w:val="18"/>
                      <w:szCs w:val="18"/>
                    </w:rPr>
                  </w:pPr>
                </w:p>
                <w:p w:rsidR="001C58EB" w:rsidRPr="00CF049B" w:rsidP="00E6243A">
                  <w:pPr>
                    <w:autoSpaceDE w:val="0"/>
                    <w:autoSpaceDN w:val="0"/>
                    <w:adjustRightInd w:val="0"/>
                    <w:spacing w:line="235" w:lineRule="auto"/>
                    <w:jc w:val="center"/>
                    <w:rPr>
                      <w:rFonts w:eastAsiaTheme="minorHAnsi"/>
                      <w:color w:val="000000"/>
                      <w:sz w:val="18"/>
                      <w:szCs w:val="18"/>
                    </w:rPr>
                  </w:pPr>
                  <w:r w:rsidRPr="00CF049B">
                    <w:rPr>
                      <w:rFonts w:eastAsiaTheme="minorHAnsi"/>
                      <w:i/>
                      <w:iCs/>
                      <w:color w:val="000000"/>
                      <w:sz w:val="18"/>
                      <w:szCs w:val="18"/>
                    </w:rPr>
                    <w:t>This is an unofficial announcement of Commission action. Release of the full text of a Commission order constitutes official action. See MCI v. FCC, 515 F.2d 385 (D.C. Cir. 1974).</w:t>
                  </w:r>
                  <w:r>
                    <w:rPr>
                      <w:rFonts w:eastAsiaTheme="minorHAnsi"/>
                      <w:i/>
                      <w:iCs/>
                      <w:color w:val="000000"/>
                      <w:sz w:val="18"/>
                      <w:szCs w:val="18"/>
                    </w:rPr>
                    <w:t xml:space="preserve"> </w:t>
                  </w:r>
                </w:p>
              </w:tc>
            </w:tr>
          </w:tbl>
          <w:p w:rsidR="001C58EB" w:rsidP="00E6243A">
            <w:pPr>
              <w:pStyle w:val="Default"/>
              <w:spacing w:line="235" w:lineRule="auto"/>
              <w:rPr>
                <w:sz w:val="22"/>
                <w:szCs w:val="22"/>
              </w:rPr>
            </w:pPr>
          </w:p>
        </w:tc>
      </w:tr>
    </w:tbl>
    <w:p w:rsidR="001C58EB" w:rsidP="001C58EB">
      <w:pPr>
        <w:spacing w:line="235" w:lineRule="auto"/>
      </w:pP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58EB"/>
    <w:rPr>
      <w:color w:val="0563C1" w:themeColor="hyperlink"/>
      <w:u w:val="single"/>
    </w:rPr>
  </w:style>
  <w:style w:type="character" w:styleId="FollowedHyperlink">
    <w:name w:val="FollowedHyperlink"/>
    <w:basedOn w:val="DefaultParagraphFont"/>
    <w:uiPriority w:val="99"/>
    <w:semiHidden/>
    <w:unhideWhenUsed/>
    <w:rsid w:val="001C5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