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253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mark.wigfield@</w:t>
            </w:r>
            <w:r w:rsidRPr="008A3940" w:rsidR="007A44F8">
              <w:rPr>
                <w:bCs/>
                <w:sz w:val="22"/>
                <w:szCs w:val="22"/>
              </w:rPr>
              <w:t>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5B6775">
              <w:rPr>
                <w:b/>
                <w:bCs/>
                <w:sz w:val="26"/>
                <w:szCs w:val="26"/>
              </w:rPr>
              <w:t>TAKES FURTHER STEPS TOWARD NATIONWIDE NUMBER PORTABILITY</w:t>
            </w:r>
          </w:p>
          <w:p w:rsidR="005B6775" w:rsidP="00BB4E29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Modifies</w:t>
            </w:r>
            <w:r>
              <w:rPr>
                <w:b/>
                <w:bCs/>
                <w:i/>
              </w:rPr>
              <w:t xml:space="preserve"> Rules to Allow</w:t>
            </w:r>
            <w:r>
              <w:rPr>
                <w:b/>
                <w:bCs/>
                <w:i/>
              </w:rPr>
              <w:t xml:space="preserve"> for</w:t>
            </w:r>
            <w:r>
              <w:rPr>
                <w:b/>
                <w:bCs/>
                <w:i/>
              </w:rPr>
              <w:t xml:space="preserve"> More Efficient Use of Networks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bookmarkEnd w:id="0"/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A15381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CD32F8" w:rsidR="00CD32F8">
              <w:rPr>
                <w:sz w:val="22"/>
                <w:szCs w:val="22"/>
              </w:rPr>
              <w:t>July 12</w:t>
            </w:r>
            <w:r w:rsidRPr="00CD32F8" w:rsidR="00065E2D">
              <w:rPr>
                <w:sz w:val="22"/>
                <w:szCs w:val="22"/>
              </w:rPr>
              <w:t>,</w:t>
            </w:r>
            <w:r w:rsidR="00065E2D">
              <w:rPr>
                <w:sz w:val="22"/>
                <w:szCs w:val="22"/>
              </w:rPr>
              <w:t xml:space="preserve"> 2018</w:t>
            </w:r>
            <w:r w:rsidR="00D861EE">
              <w:rPr>
                <w:sz w:val="22"/>
                <w:szCs w:val="22"/>
              </w:rPr>
              <w:t>—</w:t>
            </w:r>
            <w:r w:rsidRPr="000E049E" w:rsidR="000E049E">
              <w:rPr>
                <w:sz w:val="22"/>
                <w:szCs w:val="22"/>
              </w:rPr>
              <w:t xml:space="preserve">The Federal </w:t>
            </w:r>
            <w:r w:rsidR="00700E01">
              <w:rPr>
                <w:sz w:val="22"/>
                <w:szCs w:val="22"/>
              </w:rPr>
              <w:t>Communications Commission took further steps today to set the stage for nationwide number portability</w:t>
            </w:r>
            <w:r w:rsidR="00930C66">
              <w:rPr>
                <w:sz w:val="22"/>
                <w:szCs w:val="22"/>
              </w:rPr>
              <w:t>,</w:t>
            </w:r>
            <w:r w:rsidR="00700E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which will expand to consumers </w:t>
            </w:r>
            <w:r w:rsidR="002C7105">
              <w:rPr>
                <w:sz w:val="22"/>
                <w:szCs w:val="22"/>
              </w:rPr>
              <w:t>the benefits of</w:t>
            </w:r>
            <w:r>
              <w:rPr>
                <w:sz w:val="22"/>
                <w:szCs w:val="22"/>
              </w:rPr>
              <w:t xml:space="preserve"> competition currently </w:t>
            </w:r>
            <w:r w:rsidR="002C7105">
              <w:rPr>
                <w:sz w:val="22"/>
                <w:szCs w:val="22"/>
              </w:rPr>
              <w:t xml:space="preserve">provided </w:t>
            </w:r>
            <w:r>
              <w:rPr>
                <w:sz w:val="22"/>
                <w:szCs w:val="22"/>
              </w:rPr>
              <w:t>by local number portability.</w:t>
            </w:r>
          </w:p>
          <w:p w:rsidR="005F65B3" w:rsidP="00A1538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F65B3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  <w:r w:rsidRPr="005F65B3">
              <w:rPr>
                <w:bCs/>
                <w:sz w:val="22"/>
                <w:szCs w:val="22"/>
              </w:rPr>
              <w:t xml:space="preserve">Number portability </w:t>
            </w:r>
            <w:r>
              <w:rPr>
                <w:bCs/>
                <w:sz w:val="22"/>
                <w:szCs w:val="22"/>
              </w:rPr>
              <w:t xml:space="preserve">is the </w:t>
            </w:r>
            <w:r w:rsidRPr="005F65B3">
              <w:rPr>
                <w:bCs/>
                <w:sz w:val="22"/>
                <w:szCs w:val="22"/>
              </w:rPr>
              <w:t>ability to keep an existing phone number when changing carriers and locations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3A20E7">
              <w:rPr>
                <w:bCs/>
                <w:sz w:val="22"/>
                <w:szCs w:val="22"/>
              </w:rPr>
              <w:t xml:space="preserve">allowing </w:t>
            </w:r>
            <w:r w:rsidRPr="005F65B3">
              <w:rPr>
                <w:bCs/>
                <w:sz w:val="22"/>
                <w:szCs w:val="22"/>
              </w:rPr>
              <w:t>consumers and businesses to retain the convenience and value of a familiar number</w:t>
            </w:r>
            <w:r w:rsidR="00B85657">
              <w:rPr>
                <w:bCs/>
                <w:sz w:val="22"/>
                <w:szCs w:val="22"/>
              </w:rPr>
              <w:t xml:space="preserve"> in changing circumstances</w:t>
            </w:r>
            <w:r w:rsidRPr="005F65B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0E7">
              <w:rPr>
                <w:bCs/>
                <w:sz w:val="22"/>
                <w:szCs w:val="22"/>
              </w:rPr>
              <w:t>But c</w:t>
            </w:r>
            <w:r w:rsidRPr="005F65B3">
              <w:rPr>
                <w:bCs/>
                <w:sz w:val="22"/>
                <w:szCs w:val="22"/>
              </w:rPr>
              <w:t xml:space="preserve">urrently, </w:t>
            </w:r>
            <w:r w:rsidR="002C7105">
              <w:rPr>
                <w:bCs/>
                <w:sz w:val="22"/>
                <w:szCs w:val="22"/>
              </w:rPr>
              <w:t>consumers are not able to fully port a number to any wireless or wireline provider.</w:t>
            </w:r>
          </w:p>
          <w:p w:rsidR="005F65B3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:rsidR="006C412F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To pave the way for nationwide number portability, the FCC is </w:t>
            </w:r>
            <w:r w:rsidR="002C7105">
              <w:rPr>
                <w:bCs/>
                <w:sz w:val="22"/>
                <w:szCs w:val="22"/>
              </w:rPr>
              <w:t xml:space="preserve">modifying </w:t>
            </w:r>
            <w:r>
              <w:rPr>
                <w:bCs/>
                <w:sz w:val="22"/>
                <w:szCs w:val="22"/>
              </w:rPr>
              <w:t xml:space="preserve">rules </w:t>
            </w:r>
            <w:r w:rsidR="002549B2">
              <w:rPr>
                <w:bCs/>
                <w:sz w:val="22"/>
                <w:szCs w:val="22"/>
              </w:rPr>
              <w:t xml:space="preserve">that </w:t>
            </w:r>
            <w:r w:rsidR="00224348">
              <w:rPr>
                <w:bCs/>
                <w:sz w:val="22"/>
                <w:szCs w:val="22"/>
              </w:rPr>
              <w:t xml:space="preserve">were </w:t>
            </w:r>
            <w:r w:rsidR="002549B2">
              <w:rPr>
                <w:bCs/>
                <w:sz w:val="22"/>
                <w:szCs w:val="22"/>
              </w:rPr>
              <w:t xml:space="preserve">designed for </w:t>
            </w:r>
            <w:r w:rsidR="002C7105">
              <w:rPr>
                <w:bCs/>
                <w:sz w:val="22"/>
                <w:szCs w:val="22"/>
              </w:rPr>
              <w:t>an</w:t>
            </w:r>
            <w:r w:rsidR="002549B2">
              <w:rPr>
                <w:bCs/>
                <w:sz w:val="22"/>
                <w:szCs w:val="22"/>
              </w:rPr>
              <w:t xml:space="preserve"> older market </w:t>
            </w:r>
            <w:r>
              <w:rPr>
                <w:bCs/>
                <w:sz w:val="22"/>
                <w:szCs w:val="22"/>
              </w:rPr>
              <w:t>structure of separate local and long-distance calling</w:t>
            </w:r>
            <w:r w:rsidR="002C7105">
              <w:rPr>
                <w:bCs/>
                <w:sz w:val="22"/>
                <w:szCs w:val="22"/>
              </w:rPr>
              <w:t xml:space="preserve">.  These </w:t>
            </w:r>
            <w:r w:rsidR="008878B4">
              <w:rPr>
                <w:bCs/>
                <w:sz w:val="22"/>
                <w:szCs w:val="22"/>
              </w:rPr>
              <w:t xml:space="preserve">antiquated </w:t>
            </w:r>
            <w:r w:rsidR="003A20E7">
              <w:rPr>
                <w:bCs/>
                <w:sz w:val="22"/>
                <w:szCs w:val="22"/>
              </w:rPr>
              <w:t xml:space="preserve">rules </w:t>
            </w:r>
            <w:r w:rsidR="000244D0">
              <w:rPr>
                <w:bCs/>
                <w:sz w:val="22"/>
                <w:szCs w:val="22"/>
              </w:rPr>
              <w:t xml:space="preserve">are not </w:t>
            </w:r>
            <w:r>
              <w:rPr>
                <w:bCs/>
                <w:sz w:val="22"/>
                <w:szCs w:val="22"/>
              </w:rPr>
              <w:t xml:space="preserve">applicable to today’s integrated </w:t>
            </w:r>
            <w:r w:rsidR="000244D0">
              <w:rPr>
                <w:bCs/>
                <w:sz w:val="22"/>
                <w:szCs w:val="22"/>
              </w:rPr>
              <w:t xml:space="preserve">all-distance </w:t>
            </w:r>
            <w:r w:rsidR="00400072">
              <w:rPr>
                <w:bCs/>
                <w:sz w:val="22"/>
                <w:szCs w:val="22"/>
              </w:rPr>
              <w:t>service</w:t>
            </w:r>
            <w:r w:rsidR="00B85657">
              <w:rPr>
                <w:bCs/>
                <w:sz w:val="22"/>
                <w:szCs w:val="22"/>
              </w:rPr>
              <w:t>s</w:t>
            </w:r>
            <w:r w:rsidR="008878B4">
              <w:rPr>
                <w:bCs/>
                <w:sz w:val="22"/>
                <w:szCs w:val="22"/>
              </w:rPr>
              <w:t>, impede</w:t>
            </w:r>
            <w:r w:rsidR="002C7105">
              <w:rPr>
                <w:bCs/>
                <w:sz w:val="22"/>
                <w:szCs w:val="22"/>
              </w:rPr>
              <w:t xml:space="preserve"> nationwide number portability</w:t>
            </w:r>
            <w:r w:rsidR="008878B4">
              <w:rPr>
                <w:bCs/>
                <w:sz w:val="22"/>
                <w:szCs w:val="22"/>
              </w:rPr>
              <w:t>,</w:t>
            </w:r>
            <w:r w:rsidR="002549B2">
              <w:rPr>
                <w:bCs/>
                <w:sz w:val="22"/>
                <w:szCs w:val="22"/>
              </w:rPr>
              <w:t xml:space="preserve"> and </w:t>
            </w:r>
            <w:r w:rsidR="000244D0">
              <w:rPr>
                <w:bCs/>
                <w:sz w:val="22"/>
                <w:szCs w:val="22"/>
              </w:rPr>
              <w:t xml:space="preserve">frustrate </w:t>
            </w:r>
            <w:r w:rsidR="002549B2">
              <w:rPr>
                <w:bCs/>
                <w:sz w:val="22"/>
                <w:szCs w:val="22"/>
              </w:rPr>
              <w:t>efficient use of the telecommunications network.</w:t>
            </w:r>
          </w:p>
          <w:p w:rsidR="002549B2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:rsidR="005F65B3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 changes</w:t>
            </w:r>
            <w:r w:rsidR="002C7105">
              <w:rPr>
                <w:bCs/>
                <w:sz w:val="22"/>
                <w:szCs w:val="22"/>
              </w:rPr>
              <w:t xml:space="preserve"> adopted today in the Report and Order </w:t>
            </w:r>
            <w:r>
              <w:rPr>
                <w:bCs/>
                <w:sz w:val="22"/>
                <w:szCs w:val="22"/>
              </w:rPr>
              <w:t>include:</w:t>
            </w:r>
          </w:p>
          <w:p w:rsidR="00400072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:rsidR="00400072" w:rsidP="00400072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E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limination of the 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last vestiges of the </w:t>
            </w:r>
            <w:r>
              <w:rPr>
                <w:rFonts w:eastAsiaTheme="minorEastAsia"/>
                <w:bCs/>
                <w:sz w:val="22"/>
                <w:szCs w:val="22"/>
              </w:rPr>
              <w:t>“dialing parity” rule.  This rule was intended to ensure that consumers could choose and access a stand-alone lon</w:t>
            </w:r>
            <w:r w:rsidR="00B85657">
              <w:rPr>
                <w:rFonts w:eastAsiaTheme="minorEastAsia"/>
                <w:bCs/>
                <w:sz w:val="22"/>
                <w:szCs w:val="22"/>
              </w:rPr>
              <w:t>g</w:t>
            </w:r>
            <w:r>
              <w:rPr>
                <w:rFonts w:eastAsiaTheme="minorEastAsia"/>
                <w:bCs/>
                <w:sz w:val="22"/>
                <w:szCs w:val="22"/>
              </w:rPr>
              <w:t>-distance provider without dialing extra digits. However, stand-alone long-distance service is disappearing with the rise of all-distance plans, VoIP and wireless, and the FCC in 2015 eliminated the rule for most local providers.  Today’s action eliminates the rules for competitive providers, and for stand-alone service</w:t>
            </w:r>
            <w:r w:rsidR="00224348">
              <w:rPr>
                <w:rFonts w:eastAsiaTheme="minorEastAsia"/>
                <w:bCs/>
                <w:sz w:val="22"/>
                <w:szCs w:val="22"/>
              </w:rPr>
              <w:t>s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grandfathered in 2015.</w:t>
            </w:r>
          </w:p>
          <w:p w:rsidR="008878B4" w:rsidP="001D4F7C">
            <w:pPr>
              <w:pStyle w:val="ListParagraph"/>
              <w:ind w:left="780"/>
              <w:rPr>
                <w:rFonts w:eastAsiaTheme="minorEastAsia"/>
                <w:bCs/>
                <w:sz w:val="22"/>
                <w:szCs w:val="22"/>
              </w:rPr>
            </w:pPr>
          </w:p>
          <w:p w:rsidR="00400072" w:rsidRPr="00D40E9C" w:rsidP="006523D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/>
                <w:bCs/>
                <w:sz w:val="22"/>
                <w:szCs w:val="22"/>
              </w:rPr>
              <w:t>Providing flexibility in call routing by e</w:t>
            </w:r>
            <w:r w:rsidR="003A20E7">
              <w:rPr>
                <w:rFonts w:eastAsiaTheme="minorEastAsia"/>
                <w:bCs/>
                <w:sz w:val="22"/>
                <w:szCs w:val="22"/>
              </w:rPr>
              <w:t xml:space="preserve">asing </w:t>
            </w:r>
            <w:r w:rsidRPr="00D40E9C" w:rsidR="00D40E9C">
              <w:rPr>
                <w:rFonts w:eastAsiaTheme="minorEastAsia"/>
                <w:bCs/>
                <w:sz w:val="22"/>
                <w:szCs w:val="22"/>
              </w:rPr>
              <w:t>the “</w:t>
            </w:r>
            <w:r w:rsidRPr="00D40E9C">
              <w:rPr>
                <w:rFonts w:eastAsiaTheme="minorEastAsia"/>
                <w:bCs/>
                <w:sz w:val="22"/>
                <w:szCs w:val="22"/>
              </w:rPr>
              <w:t>N-1</w:t>
            </w:r>
            <w:r w:rsidR="00D40E9C">
              <w:rPr>
                <w:rFonts w:eastAsiaTheme="minorEastAsia"/>
                <w:bCs/>
                <w:sz w:val="22"/>
                <w:szCs w:val="22"/>
              </w:rPr>
              <w:t>” rule that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currently</w:t>
            </w:r>
            <w:r w:rsidR="00D40E9C">
              <w:rPr>
                <w:rFonts w:eastAsiaTheme="minorEastAsia"/>
                <w:bCs/>
                <w:sz w:val="22"/>
                <w:szCs w:val="22"/>
              </w:rPr>
              <w:t xml:space="preserve"> requires the </w:t>
            </w:r>
            <w:r w:rsidRPr="00D40E9C">
              <w:rPr>
                <w:rFonts w:eastAsiaTheme="minorEastAsia"/>
                <w:bCs/>
                <w:sz w:val="22"/>
                <w:szCs w:val="22"/>
              </w:rPr>
              <w:t>next-to-last carrier in a call – typically the long-distance provider –</w:t>
            </w:r>
            <w:r w:rsidR="00D40E9C">
              <w:rPr>
                <w:rFonts w:eastAsiaTheme="minorEastAsia"/>
                <w:bCs/>
                <w:sz w:val="22"/>
                <w:szCs w:val="22"/>
              </w:rPr>
              <w:t xml:space="preserve"> to </w:t>
            </w:r>
            <w:r w:rsidRPr="00D40E9C">
              <w:rPr>
                <w:rFonts w:eastAsiaTheme="minorEastAsia"/>
                <w:bCs/>
                <w:sz w:val="22"/>
                <w:szCs w:val="22"/>
              </w:rPr>
              <w:t xml:space="preserve">query the number portability database.  </w:t>
            </w:r>
            <w:r w:rsidR="00D40E9C">
              <w:rPr>
                <w:rFonts w:eastAsiaTheme="minorEastAsia"/>
                <w:bCs/>
                <w:sz w:val="22"/>
                <w:szCs w:val="22"/>
              </w:rPr>
              <w:t xml:space="preserve">The modification allows </w:t>
            </w:r>
            <w:r w:rsidRPr="00D40E9C">
              <w:rPr>
                <w:rFonts w:eastAsiaTheme="minorEastAsia"/>
                <w:bCs/>
                <w:sz w:val="22"/>
                <w:szCs w:val="22"/>
              </w:rPr>
              <w:t xml:space="preserve">other carriers in the chain to query the database.  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This will </w:t>
            </w:r>
            <w:r w:rsidR="00F36DAF">
              <w:rPr>
                <w:rFonts w:eastAsiaTheme="minorEastAsia"/>
                <w:bCs/>
                <w:sz w:val="22"/>
                <w:szCs w:val="22"/>
              </w:rPr>
              <w:t>open</w:t>
            </w:r>
            <w:r>
              <w:rPr>
                <w:rFonts w:eastAsiaTheme="minorEastAsia"/>
                <w:bCs/>
                <w:sz w:val="22"/>
                <w:szCs w:val="22"/>
              </w:rPr>
              <w:t xml:space="preserve"> new opportunities for call routing as the industry prepares for nationwide number portability</w:t>
            </w:r>
            <w:r w:rsidRPr="00D40E9C">
              <w:rPr>
                <w:rFonts w:eastAsiaTheme="minorEastAsia"/>
                <w:bCs/>
                <w:sz w:val="22"/>
                <w:szCs w:val="22"/>
              </w:rPr>
              <w:t>.</w:t>
            </w:r>
          </w:p>
          <w:p w:rsidR="00400072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:rsidR="00400072" w:rsidRPr="001F6731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FCC’s federal advisory committee on numbering, the </w:t>
            </w:r>
            <w:r w:rsidR="00B85657">
              <w:rPr>
                <w:bCs/>
                <w:sz w:val="22"/>
                <w:szCs w:val="22"/>
              </w:rPr>
              <w:t>North American Number</w:t>
            </w:r>
            <w:r>
              <w:rPr>
                <w:bCs/>
                <w:sz w:val="22"/>
                <w:szCs w:val="22"/>
              </w:rPr>
              <w:t>ing</w:t>
            </w:r>
            <w:r w:rsidR="00B85657">
              <w:rPr>
                <w:bCs/>
                <w:sz w:val="22"/>
                <w:szCs w:val="22"/>
              </w:rPr>
              <w:t xml:space="preserve"> Council</w:t>
            </w:r>
            <w:r w:rsidR="003A20E7">
              <w:rPr>
                <w:bCs/>
                <w:sz w:val="22"/>
                <w:szCs w:val="22"/>
              </w:rPr>
              <w:t xml:space="preserve"> or NANC, </w:t>
            </w:r>
            <w:r>
              <w:rPr>
                <w:bCs/>
                <w:sz w:val="22"/>
                <w:szCs w:val="22"/>
              </w:rPr>
              <w:t xml:space="preserve">in June approved a report on national number portability implementation, which is available at </w:t>
            </w:r>
            <w:r>
              <w:fldChar w:fldCharType="begin"/>
            </w:r>
            <w:r>
              <w:instrText xml:space="preserve"> HYPERLINK "http://www.nanc-chair.org/docs/mtg_docs/Jun18_NANC_NNP_Report_Final.pdf" </w:instrText>
            </w:r>
            <w:r>
              <w:fldChar w:fldCharType="separate"/>
            </w:r>
            <w:r w:rsidRPr="005D5289" w:rsidR="003A20E7">
              <w:rPr>
                <w:rStyle w:val="Hyperlink"/>
                <w:sz w:val="22"/>
                <w:szCs w:val="22"/>
              </w:rPr>
              <w:t>http://www.nanc-chair.org/docs/mtg_docs/Jun18_NANC_NNP_Report_Final.pdf</w:t>
            </w:r>
            <w:r>
              <w:fldChar w:fldCharType="end"/>
            </w:r>
            <w:r>
              <w:rPr>
                <w:bCs/>
                <w:sz w:val="22"/>
                <w:szCs w:val="22"/>
              </w:rPr>
              <w:t>.</w:t>
            </w:r>
            <w:r w:rsidR="003A20E7">
              <w:rPr>
                <w:bCs/>
                <w:sz w:val="22"/>
                <w:szCs w:val="22"/>
              </w:rPr>
              <w:t xml:space="preserve"> </w:t>
            </w:r>
            <w:r w:rsidRPr="001D4F7C" w:rsidR="003A6A5C">
              <w:rPr>
                <w:sz w:val="22"/>
                <w:szCs w:val="22"/>
              </w:rPr>
              <w:t>On July 3</w:t>
            </w:r>
            <w:r w:rsidR="00264BBC">
              <w:rPr>
                <w:sz w:val="22"/>
                <w:szCs w:val="22"/>
              </w:rPr>
              <w:t>r</w:t>
            </w:r>
            <w:r w:rsidRPr="001D4F7C" w:rsidR="003A6A5C">
              <w:rPr>
                <w:sz w:val="22"/>
                <w:szCs w:val="22"/>
              </w:rPr>
              <w:t xml:space="preserve">d, the Commission asked the NANC to continue to provide input on the relative costs, benefits, and technical requirements of two of the possible </w:t>
            </w:r>
            <w:r w:rsidR="001D4F7C">
              <w:rPr>
                <w:sz w:val="22"/>
                <w:szCs w:val="22"/>
              </w:rPr>
              <w:t>nationwide number portability</w:t>
            </w:r>
            <w:r w:rsidRPr="001D4F7C" w:rsidR="003A6A5C">
              <w:rPr>
                <w:sz w:val="22"/>
                <w:szCs w:val="22"/>
              </w:rPr>
              <w:t xml:space="preserve"> </w:t>
            </w:r>
            <w:r w:rsidR="00AD66BA">
              <w:rPr>
                <w:sz w:val="22"/>
                <w:szCs w:val="22"/>
              </w:rPr>
              <w:t>mechanisms</w:t>
            </w:r>
            <w:r w:rsidRPr="001D4F7C" w:rsidR="003A6A5C">
              <w:rPr>
                <w:sz w:val="22"/>
                <w:szCs w:val="22"/>
              </w:rPr>
              <w:t>, as well as the next steps the Commission and industry should take to achieve full nationwide number portability</w:t>
            </w:r>
            <w:r w:rsidRPr="001D4F7C" w:rsidR="001F6731">
              <w:rPr>
                <w:sz w:val="22"/>
                <w:szCs w:val="22"/>
              </w:rPr>
              <w:t>.</w:t>
            </w:r>
            <w:r w:rsidRPr="001F6731" w:rsidR="001F6731">
              <w:rPr>
                <w:bCs/>
                <w:sz w:val="22"/>
                <w:szCs w:val="22"/>
              </w:rPr>
              <w:t xml:space="preserve"> </w:t>
            </w:r>
          </w:p>
          <w:p w:rsidR="000244D0" w:rsidP="005F65B3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:rsidR="000641AE" w:rsidRPr="000641AE" w:rsidP="000641AE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  <w:r w:rsidRPr="000641AE">
              <w:rPr>
                <w:bCs/>
                <w:sz w:val="22"/>
                <w:szCs w:val="22"/>
              </w:rPr>
              <w:t xml:space="preserve">Action by the Commission July 12, 2018 by Report and Order (FCC 18-95).  Chairman Pai, Commissioners O’Rielly, Carr, and Rosenworcel approving.  Chairman Pai, Commissioners O’Rielly, </w:t>
            </w:r>
            <w:r>
              <w:rPr>
                <w:bCs/>
                <w:sz w:val="22"/>
                <w:szCs w:val="22"/>
              </w:rPr>
              <w:t xml:space="preserve">and </w:t>
            </w:r>
            <w:r w:rsidRPr="000641AE">
              <w:rPr>
                <w:bCs/>
                <w:sz w:val="22"/>
                <w:szCs w:val="22"/>
              </w:rPr>
              <w:t>Ca</w:t>
            </w:r>
            <w:r>
              <w:rPr>
                <w:bCs/>
                <w:sz w:val="22"/>
                <w:szCs w:val="22"/>
              </w:rPr>
              <w:t xml:space="preserve">rr </w:t>
            </w:r>
            <w:r w:rsidRPr="000641AE">
              <w:rPr>
                <w:bCs/>
                <w:sz w:val="22"/>
                <w:szCs w:val="22"/>
              </w:rPr>
              <w:t>issuing separate statements.</w:t>
            </w:r>
          </w:p>
          <w:p w:rsidR="000641AE" w:rsidRPr="000641AE" w:rsidP="000641AE">
            <w:pPr>
              <w:tabs>
                <w:tab w:val="left" w:pos="8625"/>
              </w:tabs>
              <w:rPr>
                <w:bCs/>
                <w:sz w:val="22"/>
                <w:szCs w:val="22"/>
              </w:rPr>
            </w:pPr>
          </w:p>
          <w:p w:rsidR="00850E26" w:rsidRPr="00A225A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0641AE">
              <w:rPr>
                <w:bCs/>
                <w:sz w:val="22"/>
                <w:szCs w:val="22"/>
              </w:rPr>
              <w:t>WC Docket Nos. 17-244, 13-97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583397"/>
    <w:multiLevelType w:val="hybridMultilevel"/>
    <w:tmpl w:val="D3CE1E6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2B00959"/>
    <w:multiLevelType w:val="hybridMultilevel"/>
    <w:tmpl w:val="9DB4A1E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15381"/>
  </w:style>
  <w:style w:type="paragraph" w:styleId="ListParagraph">
    <w:name w:val="List Paragraph"/>
    <w:basedOn w:val="Normal"/>
    <w:link w:val="ListParagraphChar"/>
    <w:uiPriority w:val="34"/>
    <w:qFormat/>
    <w:rsid w:val="00A15381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96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9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E6D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6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6DF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6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