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886"/>
      </w:tblGrid>
      <w:tr w:rsidTr="003909BA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814247" w:rsidP="003909BA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247" w:rsidP="003909BA">
            <w:pPr>
              <w:rPr>
                <w:b/>
                <w:bCs/>
              </w:rPr>
            </w:pPr>
          </w:p>
          <w:p w:rsidR="00814247" w:rsidRPr="008A3940" w:rsidP="003909BA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814247" w:rsidP="003909BA">
            <w:r>
              <w:rPr>
                <w:bCs/>
                <w:sz w:val="22"/>
                <w:szCs w:val="22"/>
              </w:rPr>
              <w:t>Brooke Ericson, 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2300</w:t>
            </w:r>
          </w:p>
          <w:p w:rsidR="00814247" w:rsidP="003909BA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"mailto:Brooke.Ericson@fcc.gov" </w:instrText>
            </w:r>
            <w:r>
              <w:fldChar w:fldCharType="separate"/>
            </w:r>
            <w:r w:rsidRPr="008A474E">
              <w:rPr>
                <w:rStyle w:val="Hyperlink"/>
              </w:rPr>
              <w:t>Brooke.Ericson@fcc.gov</w:t>
            </w:r>
            <w:r>
              <w:fldChar w:fldCharType="end"/>
            </w:r>
          </w:p>
          <w:p w:rsidR="00814247" w:rsidP="003909BA">
            <w:pPr>
              <w:rPr>
                <w:rStyle w:val="Hyperlink"/>
              </w:rPr>
            </w:pPr>
          </w:p>
          <w:p w:rsidR="00814247" w:rsidRPr="003D1578" w:rsidP="003909BA">
            <w:pPr>
              <w:rPr>
                <w:b/>
                <w:bCs/>
                <w:sz w:val="22"/>
                <w:szCs w:val="22"/>
              </w:rPr>
            </w:pPr>
            <w:r w:rsidRPr="003D1578">
              <w:rPr>
                <w:b/>
                <w:bCs/>
                <w:sz w:val="22"/>
                <w:szCs w:val="22"/>
              </w:rPr>
              <w:t>For immediate release</w:t>
            </w:r>
          </w:p>
          <w:p w:rsidR="00814247" w:rsidP="003909BA">
            <w:pPr>
              <w:jc w:val="center"/>
            </w:pPr>
          </w:p>
          <w:p w:rsidR="00814247" w:rsidP="003909B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STATEMENT OF </w:t>
            </w:r>
            <w:r w:rsidRPr="00EA46AA">
              <w:rPr>
                <w:b/>
                <w:caps/>
              </w:rPr>
              <w:t xml:space="preserve">Commissioner </w:t>
            </w:r>
            <w:r>
              <w:rPr>
                <w:b/>
                <w:caps/>
              </w:rPr>
              <w:t xml:space="preserve">MICHAEL </w:t>
            </w:r>
            <w:r w:rsidRPr="00EA46AA">
              <w:rPr>
                <w:b/>
                <w:caps/>
              </w:rPr>
              <w:t xml:space="preserve">O’Rielly </w:t>
            </w:r>
          </w:p>
          <w:p w:rsidR="00814247" w:rsidP="003909BA">
            <w:pPr>
              <w:jc w:val="center"/>
              <w:rPr>
                <w:b/>
                <w:caps/>
              </w:rPr>
            </w:pPr>
            <w:r w:rsidRPr="00EA46AA">
              <w:rPr>
                <w:b/>
                <w:caps/>
              </w:rPr>
              <w:t>on</w:t>
            </w:r>
            <w:r>
              <w:rPr>
                <w:b/>
                <w:caps/>
              </w:rPr>
              <w:t xml:space="preserve"> THE </w:t>
            </w:r>
            <w:r w:rsidR="0017767C">
              <w:rPr>
                <w:b/>
                <w:caps/>
              </w:rPr>
              <w:t>Sinclair/Tribune Hearing Desingation Order</w:t>
            </w:r>
            <w:r>
              <w:rPr>
                <w:b/>
                <w:caps/>
              </w:rPr>
              <w:t xml:space="preserve"> </w:t>
            </w:r>
            <w:r w:rsidR="00615757">
              <w:rPr>
                <w:b/>
                <w:caps/>
              </w:rPr>
              <w:t>(HDO)</w:t>
            </w:r>
          </w:p>
          <w:p w:rsidR="00814247" w:rsidP="003909BA">
            <w:pPr>
              <w:tabs>
                <w:tab w:val="left" w:pos="8625"/>
              </w:tabs>
              <w:jc w:val="center"/>
              <w:rPr>
                <w:b/>
                <w:i/>
                <w:caps/>
              </w:rPr>
            </w:pPr>
          </w:p>
          <w:p w:rsidR="00814247" w:rsidRPr="00EA46AA" w:rsidP="003909BA">
            <w:pPr>
              <w:tabs>
                <w:tab w:val="left" w:pos="8625"/>
              </w:tabs>
              <w:jc w:val="center"/>
              <w:rPr>
                <w:b/>
                <w:i/>
                <w:caps/>
              </w:rPr>
            </w:pPr>
          </w:p>
          <w:p w:rsidR="008C5877" w:rsidP="00615757">
            <w:r w:rsidRPr="005E55B0">
              <w:rPr>
                <w:color w:val="000000" w:themeColor="text1"/>
              </w:rPr>
              <w:t xml:space="preserve">WASHINGTON, </w:t>
            </w:r>
            <w:r>
              <w:rPr>
                <w:color w:val="000000" w:themeColor="text1"/>
              </w:rPr>
              <w:t>July 1</w:t>
            </w:r>
            <w:r w:rsidR="00841D8A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, 2018.</w:t>
            </w:r>
            <w:r w:rsidR="0017767C">
              <w:t xml:space="preserve"> – “</w:t>
            </w:r>
            <w:r>
              <w:t xml:space="preserve">As an initial matter, I largely refrain from discussing adjudicatory proceedings.  </w:t>
            </w:r>
            <w:r w:rsidR="00DB4101">
              <w:t>However, s</w:t>
            </w:r>
            <w:r>
              <w:t>ince</w:t>
            </w:r>
            <w:r w:rsidR="00DB4101">
              <w:t xml:space="preserve"> it appears that</w:t>
            </w:r>
            <w:r>
              <w:t xml:space="preserve"> the document has been provided to the press by someone, I believe</w:t>
            </w:r>
            <w:r w:rsidR="00DB4101">
              <w:t xml:space="preserve"> comment is warranted.</w:t>
            </w:r>
            <w:r>
              <w:t xml:space="preserve"> </w:t>
            </w:r>
          </w:p>
          <w:p w:rsidR="008C5877" w:rsidP="00615757"/>
          <w:p w:rsidR="0017767C" w:rsidP="00615757">
            <w:r>
              <w:t>I</w:t>
            </w:r>
            <w:r w:rsidR="00B33607">
              <w:t>n general</w:t>
            </w:r>
            <w:r w:rsidR="00DE52C3">
              <w:t>,</w:t>
            </w:r>
            <w:r w:rsidR="00615757">
              <w:t xml:space="preserve"> </w:t>
            </w:r>
            <w:r w:rsidRPr="0017767C" w:rsidR="00615757">
              <w:t xml:space="preserve">I have long stated that parties to merger applications are entitled to an answer from the Commission </w:t>
            </w:r>
            <w:r w:rsidR="00615757">
              <w:t xml:space="preserve">and </w:t>
            </w:r>
            <w:r w:rsidRPr="0017767C" w:rsidR="00446698">
              <w:t>have expressed deep objections to blindly sending decisions to the Commission’s</w:t>
            </w:r>
            <w:r w:rsidR="00615757">
              <w:t xml:space="preserve"> Administrative Law Judge (ALJ).  </w:t>
            </w:r>
            <w:r>
              <w:t xml:space="preserve">Accordingly, </w:t>
            </w:r>
            <w:r w:rsidR="00615757">
              <w:t xml:space="preserve">I believe that </w:t>
            </w:r>
            <w:r>
              <w:t xml:space="preserve">to the extent there are </w:t>
            </w:r>
            <w:r w:rsidR="00615757">
              <w:t>HDO</w:t>
            </w:r>
            <w:r>
              <w:t xml:space="preserve">s, to garner my support they must </w:t>
            </w:r>
            <w:r w:rsidR="00615757">
              <w:t xml:space="preserve">include </w:t>
            </w:r>
            <w:r w:rsidRPr="0017767C" w:rsidR="00615757">
              <w:t>sufficient and defined timelines for the ALJ to conduct and process a hearing</w:t>
            </w:r>
            <w:r w:rsidR="00615757">
              <w:t xml:space="preserve">.  </w:t>
            </w:r>
            <w:r w:rsidR="00DB4101">
              <w:t xml:space="preserve">If included in the Sinclair/Tribune HDO, I am inclined to support it.  </w:t>
            </w:r>
            <w:r w:rsidR="00615757">
              <w:t>T</w:t>
            </w:r>
            <w:r w:rsidRPr="0017767C" w:rsidR="00615757">
              <w:t xml:space="preserve">he ALJ process </w:t>
            </w:r>
            <w:r w:rsidRPr="0017767C" w:rsidR="00615757">
              <w:t>is in need of</w:t>
            </w:r>
            <w:r w:rsidRPr="0017767C" w:rsidR="00615757">
              <w:t xml:space="preserve"> significant reforms, </w:t>
            </w:r>
            <w:r w:rsidR="00615757">
              <w:t xml:space="preserve">including putting an end to the interminable hearing.” </w:t>
            </w:r>
          </w:p>
          <w:p w:rsidR="00615757" w:rsidRPr="00615757" w:rsidP="00615757"/>
          <w:p w:rsidR="00814247" w:rsidP="00A4492B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814247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2E7317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2E7317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2E7317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615757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615757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615757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615757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14247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814247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>
              <w:rPr>
                <w:b/>
                <w:bCs/>
                <w:sz w:val="18"/>
                <w:szCs w:val="18"/>
              </w:rPr>
              <w:t>mikeofcc</w:t>
            </w:r>
          </w:p>
          <w:p w:rsidR="00814247" w:rsidRPr="008A3F9A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814247" w:rsidRPr="008A3F9A" w:rsidP="003909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14247" w:rsidRPr="0069420F" w:rsidP="003909BA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641D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2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42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