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Pr="00EA46AA">
              <w:rPr>
                <w:b/>
                <w:caps/>
              </w:rPr>
              <w:t xml:space="preserve">O’Rielly </w:t>
            </w:r>
          </w:p>
          <w:p w:rsidR="00814247" w:rsidP="003909B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>
              <w:rPr>
                <w:b/>
                <w:caps/>
              </w:rPr>
              <w:t xml:space="preserve"> </w:t>
            </w:r>
            <w:r w:rsidR="000A288E">
              <w:rPr>
                <w:b/>
                <w:caps/>
              </w:rPr>
              <w:t xml:space="preserve">Introduction of the </w:t>
            </w:r>
            <w:r w:rsidR="00237EAA">
              <w:rPr>
                <w:b/>
                <w:bCs/>
                <w:caps/>
                <w:sz w:val="26"/>
                <w:szCs w:val="26"/>
              </w:rPr>
              <w:t>FCC Transparency Act  </w:t>
            </w: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237EAA" w:rsidRPr="00EC3FC3" w:rsidP="00237EAA">
            <w:r w:rsidRPr="00EC3FC3">
              <w:t>WASHINGTON, July 1</w:t>
            </w:r>
            <w:r w:rsidR="00FB7D55">
              <w:t>9</w:t>
            </w:r>
            <w:r w:rsidRPr="00EC3FC3">
              <w:t>, 2018.</w:t>
            </w:r>
            <w:r w:rsidRPr="00EC3FC3" w:rsidR="0017767C">
              <w:t xml:space="preserve"> – “</w:t>
            </w:r>
            <w:r w:rsidRPr="00EC3FC3">
              <w:t xml:space="preserve">I applaud Representative Kinzinger on reintroducing the Federal Communications Commission Transparency Act. </w:t>
            </w:r>
            <w:r w:rsidRPr="00EC3FC3" w:rsidR="00EC3FC3">
              <w:t xml:space="preserve"> </w:t>
            </w:r>
            <w:r w:rsidRPr="00EC3FC3">
              <w:t xml:space="preserve">This legislation codifies the current </w:t>
            </w:r>
            <w:r w:rsidRPr="00EC3FC3" w:rsidR="00EC3FC3">
              <w:t xml:space="preserve">and critical </w:t>
            </w:r>
            <w:r w:rsidRPr="00EC3FC3">
              <w:t xml:space="preserve">Commission practice of publicly posting items three weeks in advance of their consideration at monthly Commission meetings.  </w:t>
            </w:r>
            <w:r w:rsidRPr="00EC3FC3">
              <w:t>As a result of</w:t>
            </w:r>
            <w:r w:rsidRPr="00EC3FC3">
              <w:t xml:space="preserve"> this practice, unnecessary discussions of non-existent issues have been eliminated, conversations are more productive, Commissioners are still speaking their minds</w:t>
            </w:r>
            <w:r w:rsidRPr="00EC3FC3" w:rsidR="00EC3FC3">
              <w:t xml:space="preserve"> and negotiating internally on items</w:t>
            </w:r>
            <w:r w:rsidRPr="00EC3FC3">
              <w:t xml:space="preserve">, and work product has greatly improved.  I have also seen comments from all Commissioner offices — Republican and Democrats — in favor of the practice.  Despite the broad support for this program, as well as Chairman Pai’s </w:t>
            </w:r>
            <w:r w:rsidRPr="00EC3FC3" w:rsidR="00EC3FC3">
              <w:t xml:space="preserve">effort to initiate this </w:t>
            </w:r>
            <w:r w:rsidR="00E40F17">
              <w:t xml:space="preserve">reform </w:t>
            </w:r>
            <w:r w:rsidRPr="00EC3FC3" w:rsidR="00EC3FC3">
              <w:t>for added agency transparency</w:t>
            </w:r>
            <w:r w:rsidRPr="00EC3FC3">
              <w:t>, I believe codifying this practice is important to ensuring its longevity.”</w:t>
            </w:r>
          </w:p>
          <w:p w:rsidR="000E5C86" w:rsidP="003909BA">
            <w:pPr>
              <w:ind w:right="240"/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37EAA" w:rsidP="00237EAA">
            <w:pPr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