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3909BA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814247" w:rsidP="003909BA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47" w:rsidP="003909BA">
            <w:pPr>
              <w:rPr>
                <w:b/>
                <w:bCs/>
              </w:rPr>
            </w:pPr>
          </w:p>
          <w:p w:rsidR="00814247" w:rsidRPr="008A3940" w:rsidP="003909BA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814247" w:rsidP="003909BA">
            <w:r>
              <w:rPr>
                <w:bCs/>
                <w:sz w:val="22"/>
                <w:szCs w:val="22"/>
              </w:rPr>
              <w:t>Brooke Ericson, 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2300</w:t>
            </w:r>
          </w:p>
          <w:p w:rsidR="00814247" w:rsidP="003909B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</w:rPr>
              <w:t>Brooke.Ericson@fcc.gov</w:t>
            </w:r>
            <w:r>
              <w:fldChar w:fldCharType="end"/>
            </w:r>
          </w:p>
          <w:p w:rsidR="00814247" w:rsidP="003909BA">
            <w:pPr>
              <w:rPr>
                <w:rStyle w:val="Hyperlink"/>
              </w:rPr>
            </w:pPr>
          </w:p>
          <w:p w:rsidR="00814247" w:rsidRPr="003D1578" w:rsidP="003909BA">
            <w:pPr>
              <w:rPr>
                <w:b/>
                <w:bCs/>
                <w:sz w:val="22"/>
                <w:szCs w:val="22"/>
              </w:rPr>
            </w:pPr>
            <w:r w:rsidRPr="003D1578">
              <w:rPr>
                <w:b/>
                <w:bCs/>
                <w:sz w:val="22"/>
                <w:szCs w:val="22"/>
              </w:rPr>
              <w:t>For immediate release</w:t>
            </w:r>
          </w:p>
          <w:p w:rsidR="00814247" w:rsidP="003909BA">
            <w:pPr>
              <w:jc w:val="center"/>
            </w:pPr>
          </w:p>
          <w:p w:rsidR="00814247" w:rsidP="003909B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STATEMENT OF </w:t>
            </w:r>
            <w:r w:rsidRPr="00EA46AA">
              <w:rPr>
                <w:b/>
                <w:caps/>
              </w:rPr>
              <w:t xml:space="preserve">Commissioner </w:t>
            </w:r>
            <w:r>
              <w:rPr>
                <w:b/>
                <w:caps/>
              </w:rPr>
              <w:t xml:space="preserve">MICHAEL </w:t>
            </w:r>
            <w:r w:rsidR="00292855">
              <w:rPr>
                <w:b/>
                <w:caps/>
              </w:rPr>
              <w:t>O</w:t>
            </w:r>
            <w:r w:rsidR="002A1C88">
              <w:rPr>
                <w:b/>
                <w:caps/>
              </w:rPr>
              <w:t>’</w:t>
            </w:r>
            <w:bookmarkStart w:id="0" w:name="_GoBack"/>
            <w:bookmarkEnd w:id="0"/>
            <w:r w:rsidRPr="00EA46AA">
              <w:rPr>
                <w:b/>
                <w:caps/>
              </w:rPr>
              <w:t xml:space="preserve">Rielly </w:t>
            </w:r>
          </w:p>
          <w:p w:rsidR="00814247" w:rsidP="003909BA">
            <w:pPr>
              <w:jc w:val="center"/>
              <w:rPr>
                <w:b/>
                <w:caps/>
              </w:rPr>
            </w:pPr>
            <w:r w:rsidRPr="00EA46AA">
              <w:rPr>
                <w:b/>
                <w:caps/>
              </w:rPr>
              <w:t>on</w:t>
            </w:r>
            <w:r>
              <w:rPr>
                <w:b/>
                <w:caps/>
              </w:rPr>
              <w:t xml:space="preserve"> </w:t>
            </w:r>
            <w:r w:rsidR="000A288E">
              <w:rPr>
                <w:b/>
                <w:caps/>
              </w:rPr>
              <w:t>Introduction of the 9-1-1 Fee</w:t>
            </w:r>
            <w:r w:rsidR="000E5C86">
              <w:rPr>
                <w:b/>
                <w:caps/>
              </w:rPr>
              <w:t xml:space="preserve"> Integrity Act</w:t>
            </w:r>
          </w:p>
          <w:p w:rsidR="00814247" w:rsidRPr="00EA46AA" w:rsidP="003909BA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541375" w:rsidRPr="00541375" w:rsidP="000E5C86">
            <w:r w:rsidRPr="00541375">
              <w:t>WASHINGTON, July 1</w:t>
            </w:r>
            <w:r w:rsidR="00853AA9">
              <w:t>9</w:t>
            </w:r>
            <w:r w:rsidRPr="00541375">
              <w:t>, 2018.</w:t>
            </w:r>
            <w:r w:rsidRPr="00541375" w:rsidR="0017767C">
              <w:t xml:space="preserve"> – “</w:t>
            </w:r>
            <w:r w:rsidRPr="00541375" w:rsidR="000E5C86">
              <w:t xml:space="preserve">I commend Representatives Collins, Eshoo, and Lance for introducing the 9-1-1 Fee Integrity Act.  Importantly, this legislation assigns the process to designate acceptable purposes and functions for 9-1-1 funds to the Commission, rather than the states as allowed under current law.  This is key, as states like Rhode Island, New York, </w:t>
            </w:r>
            <w:r w:rsidRPr="00541375">
              <w:t>and New Jersey, and territories like Puerto Rico and Guam</w:t>
            </w:r>
            <w:r w:rsidR="00E072A0">
              <w:t>,</w:t>
            </w:r>
          </w:p>
          <w:p w:rsidR="000E5C86" w:rsidRPr="000E5C86" w:rsidP="000E5C86">
            <w:r w:rsidRPr="000E5C86">
              <w:t xml:space="preserve">have passed statutes over the years </w:t>
            </w:r>
            <w:r w:rsidRPr="000E5C86">
              <w:t>actually requiring</w:t>
            </w:r>
            <w:r w:rsidRPr="000E5C86">
              <w:t xml:space="preserve"> the diversion of 9-1-1 funds for non-public safety related purposes.  In the case of New Jersey, lawmakers have claimed it will take a constitutional amendment to end the practice.  This is absurd and highlights the importance of further Congressional action to bring consiste</w:t>
            </w:r>
            <w:r w:rsidR="00F22554">
              <w:t xml:space="preserve">ncy and clarity to this matter.” </w:t>
            </w:r>
          </w:p>
          <w:p w:rsidR="000E5C86" w:rsidP="003909BA">
            <w:pPr>
              <w:ind w:right="240"/>
              <w:rPr>
                <w:sz w:val="22"/>
                <w:szCs w:val="22"/>
              </w:rPr>
            </w:pPr>
          </w:p>
          <w:p w:rsidR="00814247" w:rsidP="00A4492B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81424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14247" w:rsidRPr="0069420F" w:rsidP="003909BA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4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