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RPr="00F57D08">
      <w:pPr>
        <w:jc w:val="center"/>
        <w:rPr>
          <w:b/>
          <w:szCs w:val="22"/>
        </w:rPr>
      </w:pPr>
      <w:r w:rsidRPr="00F57D08">
        <w:rPr>
          <w:b/>
          <w:kern w:val="0"/>
          <w:szCs w:val="22"/>
        </w:rPr>
        <w:t>Before</w:t>
      </w:r>
      <w:r w:rsidRPr="00F57D08">
        <w:rPr>
          <w:b/>
          <w:szCs w:val="22"/>
        </w:rPr>
        <w:t xml:space="preserve"> the</w:t>
      </w:r>
    </w:p>
    <w:p w:rsidR="00921803" w:rsidRPr="00F57D08" w:rsidP="00921803">
      <w:pPr>
        <w:pStyle w:val="StyleBoldCentered"/>
        <w:rPr>
          <w:rFonts w:ascii="Times New Roman" w:hAnsi="Times New Roman"/>
        </w:rPr>
      </w:pPr>
      <w:r w:rsidRPr="00F57D08">
        <w:rPr>
          <w:rFonts w:ascii="Times New Roman" w:hAnsi="Times New Roman"/>
        </w:rPr>
        <w:t>F</w:t>
      </w:r>
      <w:r w:rsidRPr="00F57D08">
        <w:rPr>
          <w:rFonts w:ascii="Times New Roman" w:hAnsi="Times New Roman"/>
          <w:caps w:val="0"/>
        </w:rPr>
        <w:t>ederal Communications Commission</w:t>
      </w:r>
    </w:p>
    <w:p w:rsidR="004C2EE3" w:rsidRPr="00F57D08" w:rsidP="00096D8C">
      <w:pPr>
        <w:pStyle w:val="StyleBoldCentered"/>
        <w:rPr>
          <w:rFonts w:ascii="Times New Roman" w:hAnsi="Times New Roman"/>
        </w:rPr>
      </w:pPr>
      <w:r w:rsidRPr="00F57D08">
        <w:rPr>
          <w:rFonts w:ascii="Times New Roman" w:hAnsi="Times New Roman"/>
          <w:caps w:val="0"/>
        </w:rPr>
        <w:t>Washington, D.C. 20554</w:t>
      </w:r>
    </w:p>
    <w:p w:rsidR="004C2EE3" w:rsidRPr="00F57D08" w:rsidP="0070224F">
      <w:pPr>
        <w:rPr>
          <w:szCs w:val="22"/>
        </w:rPr>
      </w:pPr>
    </w:p>
    <w:p w:rsidR="004C2EE3" w:rsidRPr="00F57D08" w:rsidP="0070224F">
      <w:pPr>
        <w:rPr>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F57D08">
            <w:pPr>
              <w:tabs>
                <w:tab w:val="center" w:pos="4680"/>
              </w:tabs>
              <w:suppressAutoHyphens/>
              <w:rPr>
                <w:spacing w:val="-2"/>
                <w:szCs w:val="22"/>
              </w:rPr>
            </w:pPr>
            <w:r w:rsidRPr="00F57D08">
              <w:rPr>
                <w:spacing w:val="-2"/>
                <w:szCs w:val="22"/>
              </w:rPr>
              <w:t>In the Matter of</w:t>
            </w:r>
          </w:p>
          <w:p w:rsidR="004C2EE3" w:rsidRPr="00F57D08">
            <w:pPr>
              <w:tabs>
                <w:tab w:val="center" w:pos="4680"/>
              </w:tabs>
              <w:suppressAutoHyphens/>
              <w:rPr>
                <w:spacing w:val="-2"/>
                <w:szCs w:val="22"/>
              </w:rPr>
            </w:pPr>
          </w:p>
          <w:p w:rsidR="00E806A0" w:rsidRPr="00F57D08" w:rsidP="00E806A0">
            <w:pPr>
              <w:ind w:right="-18"/>
              <w:rPr>
                <w:szCs w:val="22"/>
              </w:rPr>
            </w:pPr>
            <w:r w:rsidRPr="00F57D08">
              <w:rPr>
                <w:szCs w:val="22"/>
              </w:rPr>
              <w:t>Bridging the Digital Divide for Low-Income Consumers</w:t>
            </w:r>
          </w:p>
          <w:p w:rsidR="00E806A0" w:rsidRPr="00F57D08" w:rsidP="00E806A0">
            <w:pPr>
              <w:ind w:right="-18"/>
              <w:rPr>
                <w:szCs w:val="22"/>
              </w:rPr>
            </w:pPr>
          </w:p>
          <w:p w:rsidR="00E806A0" w:rsidRPr="00F57D08" w:rsidP="00E806A0">
            <w:pPr>
              <w:ind w:right="-18"/>
              <w:rPr>
                <w:szCs w:val="22"/>
              </w:rPr>
            </w:pPr>
            <w:r w:rsidRPr="00F57D08">
              <w:rPr>
                <w:szCs w:val="22"/>
              </w:rPr>
              <w:t>Lifeline and Link Up Reform and Modernization</w:t>
            </w:r>
          </w:p>
          <w:p w:rsidR="00E806A0" w:rsidRPr="00F57D08" w:rsidP="00E806A0">
            <w:pPr>
              <w:ind w:right="-18"/>
              <w:rPr>
                <w:szCs w:val="22"/>
              </w:rPr>
            </w:pPr>
          </w:p>
          <w:p w:rsidR="004C2EE3" w:rsidRPr="00F57D08" w:rsidP="00E806A0">
            <w:pPr>
              <w:tabs>
                <w:tab w:val="center" w:pos="4680"/>
              </w:tabs>
              <w:suppressAutoHyphens/>
              <w:rPr>
                <w:spacing w:val="-2"/>
                <w:szCs w:val="22"/>
              </w:rPr>
            </w:pPr>
            <w:r w:rsidRPr="00F57D08">
              <w:rPr>
                <w:szCs w:val="22"/>
              </w:rPr>
              <w:t>Telecommunications Carriers Eligible for Universal Service Support</w:t>
            </w:r>
          </w:p>
        </w:tc>
        <w:tc>
          <w:tcPr>
            <w:tcW w:w="630" w:type="dxa"/>
          </w:tcPr>
          <w:p w:rsidR="004C2EE3" w:rsidRPr="00F57D08">
            <w:pPr>
              <w:tabs>
                <w:tab w:val="center" w:pos="4680"/>
              </w:tabs>
              <w:suppressAutoHyphens/>
              <w:rPr>
                <w:b/>
                <w:spacing w:val="-2"/>
                <w:szCs w:val="22"/>
              </w:rPr>
            </w:pPr>
            <w:r w:rsidRPr="00F57D08">
              <w:rPr>
                <w:b/>
                <w:spacing w:val="-2"/>
                <w:szCs w:val="22"/>
              </w:rPr>
              <w:t>)</w:t>
            </w:r>
          </w:p>
          <w:p w:rsidR="004C2EE3" w:rsidRPr="00F57D08">
            <w:pPr>
              <w:tabs>
                <w:tab w:val="center" w:pos="4680"/>
              </w:tabs>
              <w:suppressAutoHyphens/>
              <w:rPr>
                <w:b/>
                <w:spacing w:val="-2"/>
                <w:szCs w:val="22"/>
              </w:rPr>
            </w:pPr>
            <w:r w:rsidRPr="00F57D08">
              <w:rPr>
                <w:b/>
                <w:spacing w:val="-2"/>
                <w:szCs w:val="22"/>
              </w:rPr>
              <w:t>)</w:t>
            </w:r>
          </w:p>
          <w:p w:rsidR="004C2EE3" w:rsidRPr="00F57D08">
            <w:pPr>
              <w:tabs>
                <w:tab w:val="center" w:pos="4680"/>
              </w:tabs>
              <w:suppressAutoHyphens/>
              <w:rPr>
                <w:b/>
                <w:spacing w:val="-2"/>
                <w:szCs w:val="22"/>
              </w:rPr>
            </w:pPr>
            <w:r w:rsidRPr="00F57D08">
              <w:rPr>
                <w:b/>
                <w:spacing w:val="-2"/>
                <w:szCs w:val="22"/>
              </w:rPr>
              <w:t>)</w:t>
            </w:r>
          </w:p>
          <w:p w:rsidR="004C2EE3" w:rsidRPr="00F57D08">
            <w:pPr>
              <w:tabs>
                <w:tab w:val="center" w:pos="4680"/>
              </w:tabs>
              <w:suppressAutoHyphens/>
              <w:rPr>
                <w:b/>
                <w:spacing w:val="-2"/>
                <w:szCs w:val="22"/>
              </w:rPr>
            </w:pPr>
            <w:r w:rsidRPr="00F57D08">
              <w:rPr>
                <w:b/>
                <w:spacing w:val="-2"/>
                <w:szCs w:val="22"/>
              </w:rPr>
              <w:t>)</w:t>
            </w:r>
          </w:p>
          <w:p w:rsidR="004C2EE3" w:rsidRPr="00F57D08">
            <w:pPr>
              <w:tabs>
                <w:tab w:val="center" w:pos="4680"/>
              </w:tabs>
              <w:suppressAutoHyphens/>
              <w:rPr>
                <w:b/>
                <w:spacing w:val="-2"/>
                <w:szCs w:val="22"/>
              </w:rPr>
            </w:pPr>
            <w:r w:rsidRPr="00F57D08">
              <w:rPr>
                <w:b/>
                <w:spacing w:val="-2"/>
                <w:szCs w:val="22"/>
              </w:rPr>
              <w:t>)</w:t>
            </w:r>
          </w:p>
          <w:p w:rsidR="004C2EE3" w:rsidRPr="00F57D08">
            <w:pPr>
              <w:tabs>
                <w:tab w:val="center" w:pos="4680"/>
              </w:tabs>
              <w:suppressAutoHyphens/>
              <w:rPr>
                <w:b/>
                <w:spacing w:val="-2"/>
                <w:szCs w:val="22"/>
              </w:rPr>
            </w:pPr>
            <w:r w:rsidRPr="00F57D08">
              <w:rPr>
                <w:b/>
                <w:spacing w:val="-2"/>
                <w:szCs w:val="22"/>
              </w:rPr>
              <w:t>)</w:t>
            </w:r>
          </w:p>
          <w:p w:rsidR="004C2EE3" w:rsidRPr="00F57D08">
            <w:pPr>
              <w:tabs>
                <w:tab w:val="center" w:pos="4680"/>
              </w:tabs>
              <w:suppressAutoHyphens/>
              <w:rPr>
                <w:b/>
                <w:spacing w:val="-2"/>
                <w:szCs w:val="22"/>
              </w:rPr>
            </w:pPr>
            <w:r w:rsidRPr="00F57D08">
              <w:rPr>
                <w:b/>
                <w:spacing w:val="-2"/>
                <w:szCs w:val="22"/>
              </w:rPr>
              <w:t>)</w:t>
            </w:r>
          </w:p>
          <w:p w:rsidR="004C2EE3" w:rsidRPr="00F57D08">
            <w:pPr>
              <w:tabs>
                <w:tab w:val="center" w:pos="4680"/>
              </w:tabs>
              <w:suppressAutoHyphens/>
              <w:rPr>
                <w:b/>
                <w:spacing w:val="-2"/>
                <w:szCs w:val="22"/>
              </w:rPr>
            </w:pPr>
            <w:r w:rsidRPr="00F57D08">
              <w:rPr>
                <w:b/>
                <w:spacing w:val="-2"/>
                <w:szCs w:val="22"/>
              </w:rPr>
              <w:t>)</w:t>
            </w:r>
          </w:p>
          <w:p w:rsidR="004C2EE3" w:rsidRPr="00F57D08">
            <w:pPr>
              <w:tabs>
                <w:tab w:val="center" w:pos="4680"/>
              </w:tabs>
              <w:suppressAutoHyphens/>
              <w:rPr>
                <w:spacing w:val="-2"/>
                <w:szCs w:val="22"/>
              </w:rPr>
            </w:pPr>
            <w:r w:rsidRPr="00F57D08">
              <w:rPr>
                <w:b/>
                <w:spacing w:val="-2"/>
                <w:szCs w:val="22"/>
              </w:rPr>
              <w:t>)</w:t>
            </w:r>
          </w:p>
        </w:tc>
        <w:tc>
          <w:tcPr>
            <w:tcW w:w="4248" w:type="dxa"/>
          </w:tcPr>
          <w:p w:rsidR="004C2EE3" w:rsidRPr="00F57D08">
            <w:pPr>
              <w:tabs>
                <w:tab w:val="center" w:pos="4680"/>
              </w:tabs>
              <w:suppressAutoHyphens/>
              <w:rPr>
                <w:spacing w:val="-2"/>
                <w:szCs w:val="22"/>
              </w:rPr>
            </w:pPr>
          </w:p>
          <w:p w:rsidR="004C2EE3" w:rsidRPr="00F57D08">
            <w:pPr>
              <w:pStyle w:val="TOAHeading"/>
              <w:tabs>
                <w:tab w:val="center" w:pos="4680"/>
                <w:tab w:val="clear" w:pos="9360"/>
              </w:tabs>
              <w:rPr>
                <w:spacing w:val="-2"/>
                <w:szCs w:val="22"/>
              </w:rPr>
            </w:pPr>
          </w:p>
          <w:p w:rsidR="00E806A0" w:rsidRPr="00F57D08" w:rsidP="00E806A0">
            <w:pPr>
              <w:rPr>
                <w:szCs w:val="22"/>
              </w:rPr>
            </w:pPr>
            <w:r w:rsidRPr="00F57D08">
              <w:rPr>
                <w:szCs w:val="22"/>
              </w:rPr>
              <w:t>WC Docket No. 17-287</w:t>
            </w:r>
          </w:p>
          <w:p w:rsidR="00E806A0" w:rsidRPr="00F57D08" w:rsidP="00E806A0">
            <w:pPr>
              <w:rPr>
                <w:szCs w:val="22"/>
              </w:rPr>
            </w:pPr>
          </w:p>
          <w:p w:rsidR="00E806A0" w:rsidRPr="00F57D08" w:rsidP="00E806A0">
            <w:pPr>
              <w:rPr>
                <w:szCs w:val="22"/>
              </w:rPr>
            </w:pPr>
          </w:p>
          <w:p w:rsidR="00E806A0" w:rsidRPr="00F57D08" w:rsidP="00E806A0">
            <w:pPr>
              <w:rPr>
                <w:szCs w:val="22"/>
              </w:rPr>
            </w:pPr>
            <w:r w:rsidRPr="00F57D08">
              <w:rPr>
                <w:szCs w:val="22"/>
              </w:rPr>
              <w:t>WC Docket No. 11-42</w:t>
            </w:r>
          </w:p>
          <w:p w:rsidR="00E806A0" w:rsidRPr="00F57D08" w:rsidP="00E806A0">
            <w:pPr>
              <w:rPr>
                <w:szCs w:val="22"/>
              </w:rPr>
            </w:pPr>
          </w:p>
          <w:p w:rsidR="00E806A0" w:rsidRPr="00F57D08" w:rsidP="00E806A0">
            <w:pPr>
              <w:rPr>
                <w:szCs w:val="22"/>
              </w:rPr>
            </w:pPr>
            <w:r w:rsidRPr="00F57D08">
              <w:rPr>
                <w:szCs w:val="22"/>
              </w:rPr>
              <w:t>WC Docket No. 09-197</w:t>
            </w:r>
          </w:p>
          <w:p w:rsidR="004C2EE3" w:rsidRPr="00F57D08">
            <w:pPr>
              <w:tabs>
                <w:tab w:val="center" w:pos="4680"/>
              </w:tabs>
              <w:suppressAutoHyphens/>
              <w:rPr>
                <w:spacing w:val="-2"/>
                <w:szCs w:val="22"/>
              </w:rPr>
            </w:pPr>
          </w:p>
        </w:tc>
      </w:tr>
    </w:tbl>
    <w:p w:rsidR="004C2EE3" w:rsidRPr="00F57D08" w:rsidP="0070224F">
      <w:pPr>
        <w:rPr>
          <w:szCs w:val="22"/>
        </w:rPr>
      </w:pPr>
    </w:p>
    <w:p w:rsidR="00841AB1" w:rsidRPr="00F57D08" w:rsidP="00F021FA">
      <w:pPr>
        <w:pStyle w:val="StyleBoldCentered"/>
        <w:rPr>
          <w:rFonts w:ascii="Times New Roman" w:hAnsi="Times New Roman"/>
        </w:rPr>
      </w:pPr>
      <w:r w:rsidRPr="00F57D08">
        <w:rPr>
          <w:rFonts w:ascii="Times New Roman" w:hAnsi="Times New Roman"/>
        </w:rPr>
        <w:t>ERRATUM</w:t>
      </w:r>
    </w:p>
    <w:p w:rsidR="004C2EE3" w:rsidRPr="00F57D08">
      <w:pPr>
        <w:tabs>
          <w:tab w:val="left" w:pos="-720"/>
        </w:tabs>
        <w:suppressAutoHyphens/>
        <w:spacing w:line="227" w:lineRule="auto"/>
        <w:rPr>
          <w:spacing w:val="-2"/>
          <w:szCs w:val="22"/>
        </w:rPr>
      </w:pPr>
    </w:p>
    <w:p w:rsidR="004C2EE3" w:rsidRPr="00F57D08" w:rsidP="008B618D">
      <w:pPr>
        <w:tabs>
          <w:tab w:val="left" w:pos="720"/>
          <w:tab w:val="right" w:pos="9360"/>
        </w:tabs>
        <w:suppressAutoHyphens/>
        <w:spacing w:line="227" w:lineRule="auto"/>
        <w:jc w:val="right"/>
        <w:rPr>
          <w:spacing w:val="-2"/>
          <w:szCs w:val="22"/>
        </w:rPr>
      </w:pPr>
      <w:r w:rsidRPr="00F57D08">
        <w:rPr>
          <w:b/>
          <w:spacing w:val="-2"/>
          <w:szCs w:val="22"/>
        </w:rPr>
        <w:t>Released</w:t>
      </w:r>
      <w:r w:rsidRPr="00F57D08">
        <w:rPr>
          <w:b/>
          <w:spacing w:val="-2"/>
          <w:szCs w:val="22"/>
        </w:rPr>
        <w:t>:</w:t>
      </w:r>
      <w:r w:rsidRPr="00F57D08">
        <w:rPr>
          <w:b/>
          <w:spacing w:val="-2"/>
          <w:szCs w:val="22"/>
        </w:rPr>
        <w:t xml:space="preserve"> </w:t>
      </w:r>
      <w:r w:rsidRPr="00F57D08">
        <w:rPr>
          <w:b/>
          <w:spacing w:val="-2"/>
          <w:szCs w:val="22"/>
        </w:rPr>
        <w:t xml:space="preserve"> </w:t>
      </w:r>
      <w:r w:rsidRPr="00F57D08" w:rsidR="008B618D">
        <w:rPr>
          <w:b/>
          <w:spacing w:val="-2"/>
          <w:szCs w:val="22"/>
        </w:rPr>
        <w:t>Jul</w:t>
      </w:r>
      <w:r w:rsidRPr="00F57D08" w:rsidR="005049D7">
        <w:rPr>
          <w:b/>
          <w:spacing w:val="-2"/>
          <w:szCs w:val="22"/>
        </w:rPr>
        <w:t>y</w:t>
      </w:r>
      <w:r w:rsidRPr="00F57D08" w:rsidR="008B618D">
        <w:rPr>
          <w:b/>
          <w:spacing w:val="-2"/>
          <w:szCs w:val="22"/>
        </w:rPr>
        <w:t xml:space="preserve"> 20, 2018</w:t>
      </w:r>
    </w:p>
    <w:p w:rsidR="00822CE0" w:rsidRPr="00F57D08">
      <w:pPr>
        <w:rPr>
          <w:szCs w:val="22"/>
        </w:rPr>
      </w:pPr>
    </w:p>
    <w:p w:rsidR="004C2EE3" w:rsidRPr="00F57D08">
      <w:pPr>
        <w:rPr>
          <w:spacing w:val="-2"/>
          <w:szCs w:val="22"/>
        </w:rPr>
      </w:pPr>
      <w:r w:rsidRPr="00F57D08">
        <w:rPr>
          <w:szCs w:val="22"/>
        </w:rPr>
        <w:t xml:space="preserve">By </w:t>
      </w:r>
      <w:r w:rsidRPr="00F57D08" w:rsidR="004E4A22">
        <w:rPr>
          <w:szCs w:val="22"/>
        </w:rPr>
        <w:t>the</w:t>
      </w:r>
      <w:r w:rsidRPr="00F57D08" w:rsidR="002A2D2E">
        <w:rPr>
          <w:szCs w:val="22"/>
        </w:rPr>
        <w:t xml:space="preserve"> </w:t>
      </w:r>
      <w:r w:rsidRPr="00F57D08" w:rsidR="00A07D34">
        <w:rPr>
          <w:spacing w:val="-2"/>
          <w:szCs w:val="22"/>
        </w:rPr>
        <w:t>Chief, Wireline Competition Bureau</w:t>
      </w:r>
      <w:r w:rsidRPr="00F57D08">
        <w:rPr>
          <w:spacing w:val="-2"/>
          <w:szCs w:val="22"/>
        </w:rPr>
        <w:t>:</w:t>
      </w:r>
    </w:p>
    <w:p w:rsidR="00822CE0" w:rsidRPr="00F57D08">
      <w:pPr>
        <w:rPr>
          <w:spacing w:val="-2"/>
          <w:szCs w:val="22"/>
        </w:rPr>
      </w:pPr>
    </w:p>
    <w:p w:rsidR="00412FC5" w:rsidRPr="00F57D08" w:rsidP="008B618D">
      <w:pPr>
        <w:pStyle w:val="ParaNum"/>
        <w:numPr>
          <w:ilvl w:val="0"/>
          <w:numId w:val="0"/>
        </w:numPr>
        <w:ind w:firstLine="720"/>
        <w:rPr>
          <w:szCs w:val="22"/>
        </w:rPr>
      </w:pPr>
      <w:r w:rsidRPr="00F57D08">
        <w:rPr>
          <w:szCs w:val="22"/>
        </w:rPr>
        <w:t>On July 5, 2018 the Wireline Competition Bureau (Bureau) released an Order Denying Stay Petition (</w:t>
      </w:r>
      <w:r w:rsidRPr="00F57D08">
        <w:rPr>
          <w:i/>
          <w:szCs w:val="22"/>
        </w:rPr>
        <w:t>Order</w:t>
      </w:r>
      <w:r w:rsidRPr="00F57D08">
        <w:rPr>
          <w:szCs w:val="22"/>
        </w:rPr>
        <w:t>)</w:t>
      </w:r>
      <w:r w:rsidR="00BB54AA">
        <w:rPr>
          <w:szCs w:val="22"/>
        </w:rPr>
        <w:t>, DA 18-701,</w:t>
      </w:r>
      <w:bookmarkStart w:id="0" w:name="_GoBack"/>
      <w:bookmarkEnd w:id="0"/>
      <w:r w:rsidRPr="00F57D08">
        <w:rPr>
          <w:szCs w:val="22"/>
        </w:rPr>
        <w:t xml:space="preserve"> in the above</w:t>
      </w:r>
      <w:r w:rsidRPr="00F57D08" w:rsidR="00A97569">
        <w:rPr>
          <w:szCs w:val="22"/>
        </w:rPr>
        <w:t>-</w:t>
      </w:r>
      <w:r w:rsidRPr="00F57D08">
        <w:rPr>
          <w:szCs w:val="22"/>
        </w:rPr>
        <w:t>captioned proceeding.  T</w:t>
      </w:r>
      <w:r w:rsidRPr="00F57D08" w:rsidR="00A07D34">
        <w:rPr>
          <w:szCs w:val="22"/>
        </w:rPr>
        <w:t xml:space="preserve">his </w:t>
      </w:r>
      <w:r w:rsidRPr="00F57D08" w:rsidR="00C42556">
        <w:rPr>
          <w:szCs w:val="22"/>
        </w:rPr>
        <w:t>Erratum</w:t>
      </w:r>
      <w:r w:rsidRPr="00F57D08" w:rsidR="00A07D34">
        <w:rPr>
          <w:szCs w:val="22"/>
        </w:rPr>
        <w:t xml:space="preserve"> </w:t>
      </w:r>
      <w:r w:rsidRPr="00F57D08" w:rsidR="00A97569">
        <w:rPr>
          <w:szCs w:val="22"/>
        </w:rPr>
        <w:t>amends</w:t>
      </w:r>
      <w:r w:rsidRPr="00F57D08" w:rsidR="00A97569">
        <w:rPr>
          <w:szCs w:val="22"/>
        </w:rPr>
        <w:t xml:space="preserve"> Appendix A of the </w:t>
      </w:r>
      <w:r w:rsidRPr="00F57D08" w:rsidR="00A97569">
        <w:rPr>
          <w:i/>
          <w:szCs w:val="22"/>
        </w:rPr>
        <w:t>Order</w:t>
      </w:r>
      <w:r w:rsidRPr="00F57D08" w:rsidR="00A97569">
        <w:rPr>
          <w:szCs w:val="22"/>
        </w:rPr>
        <w:t xml:space="preserve"> as indicated below:</w:t>
      </w:r>
    </w:p>
    <w:p w:rsidR="00A97569" w:rsidRPr="00F57D08" w:rsidP="008B618D">
      <w:pPr>
        <w:pStyle w:val="ParaNum"/>
        <w:numPr>
          <w:ilvl w:val="0"/>
          <w:numId w:val="0"/>
        </w:numPr>
        <w:ind w:firstLine="720"/>
        <w:rPr>
          <w:szCs w:val="22"/>
        </w:rPr>
      </w:pPr>
      <w:r w:rsidRPr="00F57D08">
        <w:rPr>
          <w:szCs w:val="22"/>
        </w:rPr>
        <w:t>Paragraph 7, on page 2 of the “Declaration of Daniel J. Margolis,” is corrected to read as follows:</w:t>
      </w:r>
    </w:p>
    <w:p w:rsidR="00A97569" w:rsidRPr="00F57D08" w:rsidP="008B618D">
      <w:pPr>
        <w:pStyle w:val="ParaNum"/>
        <w:numPr>
          <w:ilvl w:val="0"/>
          <w:numId w:val="0"/>
        </w:numPr>
        <w:ind w:left="720" w:hanging="90"/>
        <w:rPr>
          <w:szCs w:val="22"/>
        </w:rPr>
      </w:pPr>
      <w:r w:rsidRPr="00F57D08">
        <w:rPr>
          <w:szCs w:val="22"/>
        </w:rPr>
        <w:t>“7. On July 15, 2015, Geoffrey Blackwell, the then-Chief of ONAP, sent an email to Tribes across the country.</w:t>
      </w:r>
      <w:r w:rsidRPr="00F57D08" w:rsidR="00147729">
        <w:rPr>
          <w:szCs w:val="22"/>
        </w:rPr>
        <w:t xml:space="preserve">  The Bureau of Indian Affairs (BIA), an agency within the U.S. Department of the Interior, maintains email addresses for all Tribal leaders in the United States; Mr. Blackwell sent his email to </w:t>
      </w:r>
      <w:r w:rsidRPr="00F57D08" w:rsidR="00147729">
        <w:rPr>
          <w:szCs w:val="22"/>
        </w:rPr>
        <w:t>all of</w:t>
      </w:r>
      <w:r w:rsidRPr="00F57D08" w:rsidR="00147729">
        <w:rPr>
          <w:szCs w:val="22"/>
        </w:rPr>
        <w:t xml:space="preserve"> the addresses on that list.  (Although Mr. Blackwell’s email was sent to all email addresses on the BIA list, it is unclear precisely how many Tribes received that communication as the agency received </w:t>
      </w:r>
      <w:r w:rsidRPr="00F57D08" w:rsidR="00147729">
        <w:rPr>
          <w:szCs w:val="22"/>
        </w:rPr>
        <w:t>a number of</w:t>
      </w:r>
      <w:r w:rsidRPr="00F57D08" w:rsidR="00147729">
        <w:rPr>
          <w:szCs w:val="22"/>
        </w:rPr>
        <w:t xml:space="preserve"> undeliverable replies, suggesting some of the addresses on the list were inaccurate.). </w:t>
      </w:r>
      <w:r w:rsidRPr="00F57D08">
        <w:rPr>
          <w:szCs w:val="22"/>
        </w:rPr>
        <w:t xml:space="preserve"> In that email, Mr. Blackwell explained that he was following up from an email he sent in June 2015, in which he had informed them that the Commission had recently issued the Tribal Lifeline FNPRM, which set forth </w:t>
      </w:r>
      <w:r w:rsidRPr="00F57D08">
        <w:rPr>
          <w:szCs w:val="22"/>
        </w:rPr>
        <w:t>a number of</w:t>
      </w:r>
      <w:r w:rsidRPr="00F57D08">
        <w:rPr>
          <w:szCs w:val="22"/>
        </w:rPr>
        <w:t xml:space="preserve"> questions involving Tribal Nations and Tribal Lands. Mr. Blackwell stated that while the Commission sought comment on a range of issues raised in the FNPRM, he wanted to “draw your attention” to the Tribal-specific sections of the document including “paragraphs 158-171,” which proposed to limit the enhanced Tribal subsidy to facilities-based carriers and to carriers serving rural, Tribal lands. The email included a link to the Tribal Lifeline FNPRM, as well as to Commission press releases and Commissioners’ statements about the FNPRM. The email also encouraged Tribal members to attend and actively participate in the consultations. A copy of Mr. Blackwell’s July 15 email is attached as Exhibit A to this Declaration.”</w:t>
      </w:r>
    </w:p>
    <w:p w:rsidR="00F57D08" w:rsidRPr="00F57D08" w:rsidP="008B618D">
      <w:pPr>
        <w:pStyle w:val="ParaNum"/>
        <w:numPr>
          <w:ilvl w:val="0"/>
          <w:numId w:val="0"/>
        </w:numPr>
        <w:spacing w:after="0"/>
        <w:rPr>
          <w:szCs w:val="22"/>
        </w:rPr>
      </w:pPr>
    </w:p>
    <w:p w:rsidR="00192C14" w:rsidRPr="00F57D08" w:rsidP="008B618D">
      <w:pPr>
        <w:pStyle w:val="ParaNum"/>
        <w:numPr>
          <w:ilvl w:val="0"/>
          <w:numId w:val="0"/>
        </w:numPr>
        <w:spacing w:after="0"/>
        <w:rPr>
          <w:szCs w:val="22"/>
        </w:rPr>
      </w:pPr>
      <w:r w:rsidRPr="00F57D08">
        <w:rPr>
          <w:szCs w:val="22"/>
        </w:rPr>
        <w:tab/>
      </w:r>
      <w:r w:rsidRPr="00F57D08">
        <w:rPr>
          <w:szCs w:val="22"/>
        </w:rPr>
        <w:tab/>
      </w:r>
      <w:r w:rsidRPr="00F57D08">
        <w:rPr>
          <w:szCs w:val="22"/>
        </w:rPr>
        <w:tab/>
      </w:r>
      <w:r w:rsidRPr="00F57D08">
        <w:rPr>
          <w:szCs w:val="22"/>
        </w:rPr>
        <w:tab/>
      </w:r>
      <w:r w:rsidRPr="00F57D08">
        <w:rPr>
          <w:szCs w:val="22"/>
        </w:rPr>
        <w:tab/>
      </w:r>
      <w:r w:rsidRPr="00F57D08">
        <w:rPr>
          <w:szCs w:val="22"/>
        </w:rPr>
        <w:tab/>
      </w:r>
      <w:r w:rsidRPr="00F57D08">
        <w:rPr>
          <w:szCs w:val="22"/>
        </w:rPr>
        <w:t>FEDERAL COMMUNICATIONS COMMISSION</w:t>
      </w:r>
    </w:p>
    <w:p w:rsidR="00192C14" w:rsidRPr="00F57D08" w:rsidP="008B618D">
      <w:pPr>
        <w:pStyle w:val="ParaNum"/>
        <w:numPr>
          <w:ilvl w:val="0"/>
          <w:numId w:val="0"/>
        </w:numPr>
        <w:spacing w:after="0"/>
        <w:rPr>
          <w:szCs w:val="22"/>
        </w:rPr>
      </w:pPr>
    </w:p>
    <w:p w:rsidR="00A97569" w:rsidRPr="00F57D08" w:rsidP="008B618D">
      <w:pPr>
        <w:pStyle w:val="ParaNum"/>
        <w:numPr>
          <w:ilvl w:val="0"/>
          <w:numId w:val="0"/>
        </w:numPr>
        <w:spacing w:after="0"/>
        <w:rPr>
          <w:szCs w:val="22"/>
        </w:rPr>
      </w:pPr>
    </w:p>
    <w:p w:rsidR="00A97569" w:rsidRPr="00F57D08" w:rsidP="008B618D">
      <w:pPr>
        <w:pStyle w:val="ParaNum"/>
        <w:numPr>
          <w:ilvl w:val="0"/>
          <w:numId w:val="0"/>
        </w:numPr>
        <w:spacing w:after="0"/>
        <w:rPr>
          <w:szCs w:val="22"/>
        </w:rPr>
      </w:pPr>
    </w:p>
    <w:p w:rsidR="00A97569" w:rsidRPr="00F57D08" w:rsidP="008B618D">
      <w:pPr>
        <w:pStyle w:val="ParaNum"/>
        <w:numPr>
          <w:ilvl w:val="0"/>
          <w:numId w:val="0"/>
        </w:numPr>
        <w:spacing w:after="0"/>
        <w:rPr>
          <w:szCs w:val="22"/>
        </w:rPr>
      </w:pPr>
    </w:p>
    <w:p w:rsidR="00192C14" w:rsidRPr="00F57D08" w:rsidP="008B618D">
      <w:pPr>
        <w:pStyle w:val="ParaNum"/>
        <w:numPr>
          <w:ilvl w:val="0"/>
          <w:numId w:val="0"/>
        </w:numPr>
        <w:spacing w:after="0"/>
        <w:rPr>
          <w:szCs w:val="22"/>
        </w:rPr>
      </w:pPr>
      <w:r w:rsidRPr="00F57D08">
        <w:rPr>
          <w:szCs w:val="22"/>
        </w:rPr>
        <w:tab/>
      </w:r>
      <w:r w:rsidRPr="00F57D08">
        <w:rPr>
          <w:szCs w:val="22"/>
        </w:rPr>
        <w:tab/>
      </w:r>
      <w:r w:rsidRPr="00F57D08">
        <w:rPr>
          <w:szCs w:val="22"/>
        </w:rPr>
        <w:tab/>
      </w:r>
      <w:r w:rsidRPr="00F57D08">
        <w:rPr>
          <w:szCs w:val="22"/>
        </w:rPr>
        <w:tab/>
      </w:r>
      <w:r w:rsidRPr="00F57D08">
        <w:rPr>
          <w:szCs w:val="22"/>
        </w:rPr>
        <w:tab/>
      </w:r>
      <w:r w:rsidRPr="00F57D08">
        <w:rPr>
          <w:szCs w:val="22"/>
        </w:rPr>
        <w:tab/>
      </w:r>
      <w:r w:rsidRPr="00F57D08" w:rsidR="00E806A0">
        <w:rPr>
          <w:szCs w:val="22"/>
        </w:rPr>
        <w:t>Kris Anne Monteith</w:t>
      </w:r>
    </w:p>
    <w:p w:rsidR="00E806A0" w:rsidRPr="00F57D08" w:rsidP="008B618D">
      <w:pPr>
        <w:pStyle w:val="ParaNum"/>
        <w:numPr>
          <w:ilvl w:val="0"/>
          <w:numId w:val="0"/>
        </w:numPr>
        <w:spacing w:after="0"/>
        <w:rPr>
          <w:szCs w:val="22"/>
        </w:rPr>
      </w:pPr>
      <w:r w:rsidRPr="00F57D08">
        <w:rPr>
          <w:szCs w:val="22"/>
        </w:rPr>
        <w:tab/>
      </w:r>
      <w:r w:rsidRPr="00F57D08">
        <w:rPr>
          <w:szCs w:val="22"/>
        </w:rPr>
        <w:tab/>
      </w:r>
      <w:r w:rsidRPr="00F57D08">
        <w:rPr>
          <w:szCs w:val="22"/>
        </w:rPr>
        <w:tab/>
      </w:r>
      <w:r w:rsidRPr="00F57D08">
        <w:rPr>
          <w:szCs w:val="22"/>
        </w:rPr>
        <w:tab/>
      </w:r>
      <w:r w:rsidRPr="00F57D08">
        <w:rPr>
          <w:szCs w:val="22"/>
        </w:rPr>
        <w:tab/>
      </w:r>
      <w:r w:rsidRPr="00F57D08">
        <w:rPr>
          <w:szCs w:val="22"/>
        </w:rPr>
        <w:tab/>
      </w:r>
      <w:r w:rsidRPr="00F57D08">
        <w:rPr>
          <w:szCs w:val="22"/>
        </w:rPr>
        <w:t xml:space="preserve">Chief </w:t>
      </w:r>
    </w:p>
    <w:p w:rsidR="00E806A0" w:rsidRPr="00F57D08" w:rsidP="008B618D">
      <w:pPr>
        <w:pStyle w:val="ParaNum"/>
        <w:numPr>
          <w:ilvl w:val="0"/>
          <w:numId w:val="0"/>
        </w:numPr>
        <w:rPr>
          <w:szCs w:val="22"/>
        </w:rPr>
      </w:pPr>
      <w:r w:rsidRPr="00F57D08">
        <w:rPr>
          <w:szCs w:val="22"/>
        </w:rPr>
        <w:tab/>
      </w:r>
      <w:r w:rsidRPr="00F57D08">
        <w:rPr>
          <w:szCs w:val="22"/>
        </w:rPr>
        <w:tab/>
      </w:r>
      <w:r w:rsidRPr="00F57D08">
        <w:rPr>
          <w:szCs w:val="22"/>
        </w:rPr>
        <w:tab/>
      </w:r>
      <w:r w:rsidRPr="00F57D08">
        <w:rPr>
          <w:szCs w:val="22"/>
        </w:rPr>
        <w:tab/>
      </w:r>
      <w:r w:rsidRPr="00F57D08">
        <w:rPr>
          <w:szCs w:val="22"/>
        </w:rPr>
        <w:tab/>
      </w:r>
      <w:r w:rsidRPr="00F57D08">
        <w:rPr>
          <w:szCs w:val="22"/>
        </w:rPr>
        <w:tab/>
      </w:r>
      <w:r w:rsidRPr="00F57D08">
        <w:rPr>
          <w:szCs w:val="22"/>
        </w:rPr>
        <w:t>Wireline Competition Bureau</w:t>
      </w: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Franklin Gothic"/>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sidR="00147729">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0" w:insDel="0"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192C14"/>
    <w:rPr>
      <w:rFonts w:ascii="Segoe UI" w:hAnsi="Segoe UI" w:cs="Segoe UI"/>
      <w:sz w:val="18"/>
      <w:szCs w:val="18"/>
    </w:rPr>
  </w:style>
  <w:style w:type="character" w:customStyle="1" w:styleId="BalloonTextChar">
    <w:name w:val="Balloon Text Char"/>
    <w:link w:val="BalloonText"/>
    <w:rsid w:val="00192C14"/>
    <w:rPr>
      <w:rFonts w:ascii="Segoe UI" w:hAnsi="Segoe UI" w:cs="Segoe UI"/>
      <w:snapToGrid w:val="0"/>
      <w:kern w:val="28"/>
      <w:sz w:val="18"/>
      <w:szCs w:val="18"/>
    </w:rPr>
  </w:style>
  <w:style w:type="character" w:styleId="CommentReference">
    <w:name w:val="annotation reference"/>
    <w:rsid w:val="00A97569"/>
    <w:rPr>
      <w:sz w:val="16"/>
      <w:szCs w:val="16"/>
    </w:rPr>
  </w:style>
  <w:style w:type="paragraph" w:styleId="CommentText">
    <w:name w:val="annotation text"/>
    <w:basedOn w:val="Normal"/>
    <w:link w:val="CommentTextChar"/>
    <w:rsid w:val="00A97569"/>
    <w:rPr>
      <w:sz w:val="20"/>
    </w:rPr>
  </w:style>
  <w:style w:type="character" w:customStyle="1" w:styleId="CommentTextChar">
    <w:name w:val="Comment Text Char"/>
    <w:link w:val="CommentText"/>
    <w:rsid w:val="00A97569"/>
    <w:rPr>
      <w:snapToGrid w:val="0"/>
      <w:kern w:val="28"/>
    </w:rPr>
  </w:style>
  <w:style w:type="paragraph" w:styleId="CommentSubject">
    <w:name w:val="annotation subject"/>
    <w:basedOn w:val="CommentText"/>
    <w:next w:val="CommentText"/>
    <w:link w:val="CommentSubjectChar"/>
    <w:rsid w:val="00A97569"/>
    <w:rPr>
      <w:b/>
      <w:bCs/>
    </w:rPr>
  </w:style>
  <w:style w:type="character" w:customStyle="1" w:styleId="CommentSubjectChar">
    <w:name w:val="Comment Subject Char"/>
    <w:link w:val="CommentSubject"/>
    <w:rsid w:val="00A9756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