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223BB" w:rsidP="0026689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STATEMENT ON</w:t>
            </w:r>
            <w:r w:rsidR="00266896">
              <w:rPr>
                <w:b/>
                <w:bCs/>
                <w:sz w:val="26"/>
                <w:szCs w:val="26"/>
              </w:rPr>
              <w:t xml:space="preserve"> </w:t>
            </w:r>
            <w:r w:rsidR="005248E3">
              <w:rPr>
                <w:b/>
                <w:bCs/>
                <w:sz w:val="26"/>
                <w:szCs w:val="26"/>
              </w:rPr>
              <w:t xml:space="preserve">FCC VICTORY IN </w:t>
            </w:r>
          </w:p>
          <w:p w:rsidR="00CC5E08" w:rsidRPr="00266896" w:rsidP="0026689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UHF DISCOUNT CASE</w:t>
            </w:r>
          </w:p>
          <w:p w:rsidR="00266896" w:rsidRPr="00266896" w:rsidP="006E7C54">
            <w:pPr>
              <w:tabs>
                <w:tab w:val="left" w:pos="8640"/>
              </w:tabs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</w:pPr>
          </w:p>
          <w:p w:rsidR="006E7C54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WASHINGTON,</w:t>
            </w:r>
            <w:r w:rsidR="00266896">
              <w:rPr>
                <w:sz w:val="22"/>
                <w:szCs w:val="22"/>
              </w:rPr>
              <w:t xml:space="preserve"> July 25</w:t>
            </w:r>
            <w:r w:rsidR="000A40DD">
              <w:rPr>
                <w:sz w:val="22"/>
                <w:szCs w:val="22"/>
              </w:rPr>
              <w:t>, 201</w:t>
            </w:r>
            <w:r w:rsidR="005E7995">
              <w:rPr>
                <w:sz w:val="22"/>
                <w:szCs w:val="22"/>
              </w:rPr>
              <w:t>8</w:t>
            </w:r>
            <w:r w:rsidR="00D44143">
              <w:rPr>
                <w:sz w:val="22"/>
                <w:szCs w:val="22"/>
              </w:rPr>
              <w:t>—</w:t>
            </w:r>
            <w:r w:rsidRPr="006E7C54">
              <w:rPr>
                <w:sz w:val="22"/>
                <w:szCs w:val="22"/>
              </w:rPr>
              <w:t xml:space="preserve">Federal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Pr="006E7C54">
              <w:rPr>
                <w:sz w:val="22"/>
                <w:szCs w:val="22"/>
              </w:rPr>
              <w:t xml:space="preserve"> issued the following statement </w:t>
            </w:r>
            <w:r w:rsidR="00266896">
              <w:rPr>
                <w:sz w:val="22"/>
                <w:szCs w:val="22"/>
              </w:rPr>
              <w:t xml:space="preserve">regarding </w:t>
            </w:r>
            <w:r w:rsidR="005248E3">
              <w:rPr>
                <w:sz w:val="22"/>
                <w:szCs w:val="22"/>
              </w:rPr>
              <w:t>today’s ruling by the U.S. Court of Appeals for the D.C. Circuit,</w:t>
            </w:r>
            <w:r w:rsidR="007945B7">
              <w:rPr>
                <w:sz w:val="22"/>
                <w:szCs w:val="22"/>
              </w:rPr>
              <w:t xml:space="preserve"> which </w:t>
            </w:r>
            <w:r w:rsidR="005248E3">
              <w:rPr>
                <w:sz w:val="22"/>
                <w:szCs w:val="22"/>
              </w:rPr>
              <w:t>dismissed</w:t>
            </w:r>
            <w:r w:rsidR="007945B7">
              <w:rPr>
                <w:sz w:val="22"/>
                <w:szCs w:val="22"/>
              </w:rPr>
              <w:t xml:space="preserve"> </w:t>
            </w:r>
            <w:r w:rsidR="00266896">
              <w:rPr>
                <w:sz w:val="22"/>
                <w:szCs w:val="22"/>
              </w:rPr>
              <w:t xml:space="preserve">a challenge to </w:t>
            </w:r>
            <w:r w:rsidR="007945B7">
              <w:rPr>
                <w:sz w:val="22"/>
                <w:szCs w:val="22"/>
              </w:rPr>
              <w:t>the reinstatement of</w:t>
            </w:r>
            <w:r w:rsidR="00266896">
              <w:rPr>
                <w:sz w:val="22"/>
                <w:szCs w:val="22"/>
              </w:rPr>
              <w:t xml:space="preserve"> the UHF discount:</w:t>
            </w:r>
          </w:p>
          <w:p w:rsidR="006E7C54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66896" w:rsidP="00266896">
            <w:pPr>
              <w:rPr>
                <w:sz w:val="22"/>
                <w:szCs w:val="22"/>
              </w:rPr>
            </w:pPr>
            <w:r w:rsidRPr="004B342D">
              <w:rPr>
                <w:sz w:val="22"/>
                <w:szCs w:val="22"/>
              </w:rPr>
              <w:t xml:space="preserve">“I’m pleased with the court’s decision to reject this challenge to the reinstatement of the UHF discount pending the completion of our comprehensive review of the national ownership cap.” </w:t>
            </w: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 w:rsidR="001D5CF1"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2143D8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9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