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4307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8D7408" w:rsidP="006058EC">
      <w:pPr>
        <w:suppressAutoHyphens/>
        <w:jc w:val="center"/>
        <w:rPr>
          <w:szCs w:val="24"/>
        </w:rPr>
      </w:pPr>
    </w:p>
    <w:p w:rsidR="006058EC" w:rsidRPr="00CA3BB2" w:rsidP="006058EC">
      <w:pPr>
        <w:suppressAutoHyphens/>
        <w:jc w:val="center"/>
        <w:rPr>
          <w:szCs w:val="24"/>
        </w:rPr>
      </w:pPr>
      <w:r>
        <w:rPr>
          <w:szCs w:val="24"/>
        </w:rPr>
        <w:t>July</w:t>
      </w:r>
      <w:r w:rsidR="00977889">
        <w:rPr>
          <w:szCs w:val="24"/>
        </w:rPr>
        <w:t xml:space="preserve"> </w:t>
      </w:r>
      <w:r w:rsidRPr="00B105AE" w:rsidR="00B105AE">
        <w:rPr>
          <w:szCs w:val="24"/>
        </w:rPr>
        <w:t>25</w:t>
      </w:r>
      <w:r w:rsidRPr="005B4316" w:rsidR="00144D12">
        <w:rPr>
          <w:szCs w:val="24"/>
        </w:rPr>
        <w:t>,</w:t>
      </w:r>
      <w:r w:rsidRPr="00CA3BB2" w:rsidR="00144D12">
        <w:rPr>
          <w:szCs w:val="24"/>
        </w:rPr>
        <w:t xml:space="preserve"> </w:t>
      </w:r>
      <w:r w:rsidRPr="00CA3BB2" w:rsidR="00267443">
        <w:rPr>
          <w:szCs w:val="24"/>
        </w:rPr>
        <w:t>201</w:t>
      </w:r>
      <w:r w:rsidR="00C1106A">
        <w:rPr>
          <w:szCs w:val="24"/>
        </w:rPr>
        <w:t>8</w:t>
      </w:r>
    </w:p>
    <w:p w:rsidR="006058EC" w:rsidP="006058EC">
      <w:pPr>
        <w:suppressAutoHyphens/>
        <w:jc w:val="center"/>
        <w:rPr>
          <w:szCs w:val="24"/>
        </w:rPr>
      </w:pPr>
    </w:p>
    <w:p w:rsidR="00D64579" w:rsidRPr="00331AE9" w:rsidP="006058EC">
      <w:pPr>
        <w:suppressAutoHyphens/>
        <w:jc w:val="center"/>
        <w:rPr>
          <w:szCs w:val="24"/>
        </w:rPr>
      </w:pPr>
    </w:p>
    <w:p w:rsidR="007D267A" w:rsidP="006058EC">
      <w:pPr>
        <w:widowControl/>
        <w:rPr>
          <w:szCs w:val="24"/>
        </w:rPr>
      </w:pPr>
      <w:bookmarkStart w:id="0" w:name="OLE_LINK1"/>
      <w:r>
        <w:rPr>
          <w:szCs w:val="24"/>
        </w:rPr>
        <w:t>Prospect Elementary</w:t>
      </w:r>
      <w:r w:rsidR="00B706A0">
        <w:rPr>
          <w:szCs w:val="24"/>
        </w:rPr>
        <w:t xml:space="preserve"> School</w:t>
      </w:r>
    </w:p>
    <w:p w:rsidR="00A51BE0" w:rsidP="006058EC">
      <w:pPr>
        <w:widowControl/>
        <w:rPr>
          <w:szCs w:val="24"/>
        </w:rPr>
      </w:pPr>
      <w:r>
        <w:rPr>
          <w:szCs w:val="24"/>
        </w:rPr>
        <w:t>Attn: Steve Montgomery</w:t>
      </w:r>
    </w:p>
    <w:p w:rsidR="006058EC" w:rsidRPr="00331AE9" w:rsidP="006058EC">
      <w:pPr>
        <w:widowControl/>
        <w:spacing w:after="120"/>
        <w:rPr>
          <w:szCs w:val="24"/>
        </w:rPr>
      </w:pPr>
      <w:bookmarkEnd w:id="0"/>
      <w:r>
        <w:rPr>
          <w:szCs w:val="24"/>
        </w:rPr>
        <w:t>Cleveland</w:t>
      </w:r>
      <w:r w:rsidR="00B92792">
        <w:rPr>
          <w:szCs w:val="24"/>
        </w:rPr>
        <w:t>,</w:t>
      </w:r>
      <w:r>
        <w:rPr>
          <w:szCs w:val="24"/>
        </w:rPr>
        <w:t xml:space="preserve"> Tennessee</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w:t>
      </w:r>
      <w:r w:rsidRPr="00B706A0">
        <w:rPr>
          <w:szCs w:val="24"/>
        </w:rPr>
        <w:t>FIELDSCR-</w:t>
      </w:r>
      <w:r w:rsidRPr="00B706A0" w:rsidR="00B706A0">
        <w:rPr>
          <w:szCs w:val="24"/>
        </w:rPr>
        <w:t>18</w:t>
      </w:r>
      <w:r w:rsidRPr="00B706A0" w:rsidR="00674C0D">
        <w:rPr>
          <w:szCs w:val="24"/>
        </w:rPr>
        <w:t>-</w:t>
      </w:r>
      <w:r w:rsidRPr="00B706A0" w:rsidR="003941F9">
        <w:rPr>
          <w:szCs w:val="24"/>
        </w:rPr>
        <w:t>0002</w:t>
      </w:r>
      <w:r w:rsidRPr="00B706A0" w:rsidR="00B706A0">
        <w:rPr>
          <w:szCs w:val="24"/>
        </w:rPr>
        <w:t>6598</w:t>
      </w:r>
    </w:p>
    <w:p w:rsidR="006058EC" w:rsidRPr="00331AE9" w:rsidP="007D267A">
      <w:pPr>
        <w:widowControl/>
        <w:tabs>
          <w:tab w:val="left" w:pos="5040"/>
        </w:tabs>
        <w:outlineLvl w:val="0"/>
        <w:rPr>
          <w:szCs w:val="24"/>
        </w:rPr>
      </w:pPr>
      <w:r w:rsidRPr="00331AE9">
        <w:rPr>
          <w:szCs w:val="24"/>
        </w:rPr>
        <w:tab/>
      </w:r>
    </w:p>
    <w:p w:rsidR="006058EC" w:rsidRPr="00B706A0" w:rsidP="006058EC">
      <w:pPr>
        <w:widowControl/>
        <w:rPr>
          <w:szCs w:val="24"/>
        </w:rPr>
      </w:pPr>
      <w:r w:rsidRPr="00331AE9">
        <w:rPr>
          <w:szCs w:val="24"/>
        </w:rPr>
        <w:t>O</w:t>
      </w:r>
      <w:r w:rsidRPr="00B706A0">
        <w:rPr>
          <w:szCs w:val="24"/>
        </w:rPr>
        <w:t xml:space="preserve">n </w:t>
      </w:r>
      <w:r w:rsidRPr="00B706A0" w:rsidR="00B706A0">
        <w:rPr>
          <w:szCs w:val="24"/>
        </w:rPr>
        <w:t>April 4</w:t>
      </w:r>
      <w:r w:rsidRPr="00B706A0" w:rsidR="00056B81">
        <w:rPr>
          <w:szCs w:val="24"/>
        </w:rPr>
        <w:t xml:space="preserve">, </w:t>
      </w:r>
      <w:r w:rsidRPr="00B706A0" w:rsidR="00B706A0">
        <w:rPr>
          <w:szCs w:val="24"/>
        </w:rPr>
        <w:t>2018</w:t>
      </w:r>
      <w:r w:rsidRPr="00B706A0" w:rsidR="00C5762B">
        <w:rPr>
          <w:szCs w:val="24"/>
        </w:rPr>
        <w:t xml:space="preserve">, </w:t>
      </w:r>
      <w:r w:rsidRPr="00B706A0" w:rsidR="00592561">
        <w:rPr>
          <w:szCs w:val="24"/>
        </w:rPr>
        <w:t>A</w:t>
      </w:r>
      <w:r w:rsidRPr="00B706A0">
        <w:rPr>
          <w:szCs w:val="24"/>
        </w:rPr>
        <w:t xml:space="preserve">gents from </w:t>
      </w:r>
      <w:r w:rsidRPr="00B706A0" w:rsidR="00B706A0">
        <w:rPr>
          <w:szCs w:val="24"/>
        </w:rPr>
        <w:t>the Atlanta</w:t>
      </w:r>
      <w:r w:rsidRPr="00B706A0" w:rsidR="00DE4189">
        <w:rPr>
          <w:szCs w:val="24"/>
        </w:rPr>
        <w:t xml:space="preserve"> Office (</w:t>
      </w:r>
      <w:r w:rsidRPr="00B706A0" w:rsidR="00B706A0">
        <w:rPr>
          <w:szCs w:val="24"/>
        </w:rPr>
        <w:t>Atlanta</w:t>
      </w:r>
      <w:r w:rsidRPr="00B706A0" w:rsidR="00DE4189">
        <w:rPr>
          <w:szCs w:val="24"/>
        </w:rPr>
        <w:t xml:space="preserve"> Office) of the </w:t>
      </w:r>
      <w:r w:rsidRPr="00B706A0" w:rsidR="00592561">
        <w:rPr>
          <w:szCs w:val="24"/>
        </w:rPr>
        <w:t>Federal Communications Commission</w:t>
      </w:r>
      <w:r w:rsidRPr="00B706A0" w:rsidR="00DE4189">
        <w:rPr>
          <w:szCs w:val="24"/>
        </w:rPr>
        <w:t>’s (FCC’s or Commission’s)</w:t>
      </w:r>
      <w:r w:rsidRPr="00B706A0" w:rsidR="000E4E78">
        <w:rPr>
          <w:szCs w:val="24"/>
        </w:rPr>
        <w:t xml:space="preserve"> </w:t>
      </w:r>
      <w:r w:rsidRPr="00B706A0" w:rsidR="00592561">
        <w:rPr>
          <w:szCs w:val="24"/>
        </w:rPr>
        <w:t>Enforcement Bureau</w:t>
      </w:r>
      <w:r w:rsidRPr="00B706A0" w:rsidR="00DE4189">
        <w:rPr>
          <w:szCs w:val="24"/>
        </w:rPr>
        <w:t xml:space="preserve"> (Bureau) </w:t>
      </w:r>
      <w:r w:rsidRPr="00B706A0">
        <w:rPr>
          <w:szCs w:val="24"/>
        </w:rPr>
        <w:t xml:space="preserve">confirmed by direction finding techniques that radio signals on frequency </w:t>
      </w:r>
      <w:r w:rsidRPr="00B706A0" w:rsidR="00B706A0">
        <w:rPr>
          <w:szCs w:val="24"/>
        </w:rPr>
        <w:t>96.9</w:t>
      </w:r>
      <w:r w:rsidRPr="00B706A0" w:rsidR="00EC56E4">
        <w:rPr>
          <w:szCs w:val="24"/>
        </w:rPr>
        <w:t xml:space="preserve"> </w:t>
      </w:r>
      <w:r w:rsidRPr="00B706A0" w:rsidR="008672F5">
        <w:rPr>
          <w:szCs w:val="24"/>
        </w:rPr>
        <w:t xml:space="preserve">MHz </w:t>
      </w:r>
      <w:r w:rsidRPr="00B706A0">
        <w:rPr>
          <w:szCs w:val="24"/>
        </w:rPr>
        <w:t xml:space="preserve">were emanating from </w:t>
      </w:r>
      <w:r w:rsidRPr="00B706A0" w:rsidR="003E0C48">
        <w:rPr>
          <w:szCs w:val="24"/>
        </w:rPr>
        <w:t xml:space="preserve">Prospect Elementary </w:t>
      </w:r>
      <w:r w:rsidRPr="00B706A0" w:rsidR="00B706A0">
        <w:rPr>
          <w:szCs w:val="24"/>
        </w:rPr>
        <w:t xml:space="preserve">School </w:t>
      </w:r>
      <w:r w:rsidRPr="00B706A0" w:rsidR="003E0C48">
        <w:rPr>
          <w:szCs w:val="24"/>
        </w:rPr>
        <w:t>on Prospect School Rd. in Cleveland, Tennessee</w:t>
      </w:r>
      <w:r w:rsidRPr="00B706A0" w:rsidR="00EC56E4">
        <w:rPr>
          <w:szCs w:val="24"/>
        </w:rPr>
        <w:t xml:space="preserve">.  </w:t>
      </w:r>
      <w:r w:rsidRPr="00B706A0" w:rsidR="008672F5">
        <w:rPr>
          <w:szCs w:val="24"/>
        </w:rPr>
        <w:t xml:space="preserve">The Commission’s records show that no license was issued for operation of a broadcast station at this location on </w:t>
      </w:r>
      <w:r w:rsidRPr="00B706A0" w:rsidR="00B706A0">
        <w:rPr>
          <w:szCs w:val="24"/>
        </w:rPr>
        <w:t>96.9</w:t>
      </w:r>
      <w:r w:rsidRPr="00B706A0" w:rsidR="00EC56E4">
        <w:rPr>
          <w:szCs w:val="24"/>
        </w:rPr>
        <w:t xml:space="preserve"> MH</w:t>
      </w:r>
      <w:r w:rsidRPr="00B706A0" w:rsidR="00F852AC">
        <w:rPr>
          <w:szCs w:val="24"/>
        </w:rPr>
        <w:t xml:space="preserve">z </w:t>
      </w:r>
      <w:r w:rsidR="003F7CBD">
        <w:rPr>
          <w:szCs w:val="24"/>
        </w:rPr>
        <w:t xml:space="preserve">in </w:t>
      </w:r>
      <w:r w:rsidRPr="00B706A0" w:rsidR="003E0C48">
        <w:rPr>
          <w:szCs w:val="24"/>
        </w:rPr>
        <w:t>Cleveland, Tennessee</w:t>
      </w:r>
      <w:r w:rsidRPr="00B706A0" w:rsidR="00EC56E4">
        <w:rPr>
          <w:szCs w:val="24"/>
        </w:rPr>
        <w:t xml:space="preserve">.  </w:t>
      </w:r>
      <w:r w:rsidRPr="00B706A0" w:rsidR="008672F5">
        <w:rPr>
          <w:szCs w:val="24"/>
        </w:rPr>
        <w:t xml:space="preserve">  </w:t>
      </w:r>
    </w:p>
    <w:p w:rsidR="006058EC" w:rsidRPr="00331AE9" w:rsidP="006058EC">
      <w:pPr>
        <w:widowControl/>
        <w:rPr>
          <w:szCs w:val="24"/>
        </w:rPr>
      </w:pPr>
    </w:p>
    <w:p w:rsidR="006058EC" w:rsidRPr="00331AE9" w:rsidP="00253BC4">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w:t>
      </w:r>
      <w:r w:rsidRPr="00B706A0" w:rsidR="00704EE5">
        <w:rPr>
          <w:szCs w:val="24"/>
        </w:rPr>
        <w:t xml:space="preserve">including </w:t>
      </w:r>
      <w:r w:rsidRPr="00B706A0" w:rsidR="00B706A0">
        <w:rPr>
          <w:szCs w:val="24"/>
        </w:rPr>
        <w:t>96.9</w:t>
      </w:r>
      <w:r w:rsidRPr="00B706A0" w:rsidR="00EC56E4">
        <w:rPr>
          <w:szCs w:val="24"/>
        </w:rPr>
        <w:t xml:space="preserve"> </w:t>
      </w:r>
      <w:r w:rsidRPr="00B706A0" w:rsidR="00704EE5">
        <w:rPr>
          <w:szCs w:val="24"/>
        </w:rPr>
        <w:t>MHz</w:t>
      </w:r>
      <w:r w:rsidR="00704EE5">
        <w:rPr>
          <w:szCs w:val="24"/>
        </w:rPr>
        <w:t>,</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 xml:space="preserve">The only exception to this licensing requirement is for certain transmitters </w:t>
      </w:r>
      <w:r w:rsidR="00965EB3">
        <w:rPr>
          <w:szCs w:val="24"/>
        </w:rPr>
        <w:t>to operate in accordance with</w:t>
      </w:r>
      <w:r w:rsidRPr="00B706A0">
        <w:rPr>
          <w:szCs w:val="24"/>
        </w:rPr>
        <w:t xml:space="preserve"> the </w:t>
      </w:r>
      <w:r w:rsidR="00965EB3">
        <w:rPr>
          <w:szCs w:val="24"/>
        </w:rPr>
        <w:t xml:space="preserve">technical </w:t>
      </w:r>
      <w:r w:rsidRPr="00B706A0">
        <w:rPr>
          <w:szCs w:val="24"/>
        </w:rPr>
        <w:t xml:space="preserve">standards </w:t>
      </w:r>
      <w:r w:rsidR="005D7F10">
        <w:rPr>
          <w:szCs w:val="24"/>
        </w:rPr>
        <w:t xml:space="preserve">for certain low power devices </w:t>
      </w:r>
      <w:r w:rsidRPr="00B706A0">
        <w:rPr>
          <w:szCs w:val="24"/>
        </w:rPr>
        <w:t>established in Part 15 of the Commission’s rules</w:t>
      </w:r>
      <w:r w:rsidR="00965EB3">
        <w:rPr>
          <w:szCs w:val="24"/>
        </w:rPr>
        <w:t>,</w:t>
      </w:r>
      <w:r>
        <w:rPr>
          <w:rStyle w:val="FootnoteReference"/>
          <w:szCs w:val="24"/>
        </w:rPr>
        <w:footnoteReference w:id="4"/>
      </w:r>
      <w:r w:rsidR="00965EB3">
        <w:rPr>
          <w:szCs w:val="24"/>
        </w:rPr>
        <w:t xml:space="preserve"> and also </w:t>
      </w:r>
      <w:r w:rsidR="00253BC4">
        <w:rPr>
          <w:szCs w:val="24"/>
        </w:rPr>
        <w:t xml:space="preserve">to </w:t>
      </w:r>
      <w:r w:rsidR="00965EB3">
        <w:rPr>
          <w:szCs w:val="24"/>
        </w:rPr>
        <w:t>be certified for use under Part 15 of the Commission’s rules.</w:t>
      </w:r>
      <w:r w:rsidR="00965EB3">
        <w:rPr>
          <w:rStyle w:val="FootnoteReference"/>
          <w:szCs w:val="24"/>
        </w:rPr>
        <w:t xml:space="preserve"> </w:t>
      </w:r>
      <w:r>
        <w:rPr>
          <w:rStyle w:val="FootnoteReference"/>
          <w:szCs w:val="24"/>
        </w:rPr>
        <w:footnoteReference w:id="5"/>
      </w:r>
      <w:r w:rsidR="003F7CBD">
        <w:rPr>
          <w:szCs w:val="24"/>
        </w:rPr>
        <w:t xml:space="preserve">  </w:t>
      </w:r>
      <w:r w:rsidRPr="00253BC4" w:rsidR="00253BC4">
        <w:rPr>
          <w:szCs w:val="24"/>
        </w:rPr>
        <w:t>Section 2.805(a) of the Commission’s rules provides in relevant part that, except in</w:t>
      </w:r>
      <w:r w:rsidR="00253BC4">
        <w:rPr>
          <w:szCs w:val="24"/>
        </w:rPr>
        <w:t xml:space="preserve"> </w:t>
      </w:r>
      <w:r w:rsidRPr="00253BC4" w:rsidR="00253BC4">
        <w:rPr>
          <w:szCs w:val="24"/>
        </w:rPr>
        <w:t xml:space="preserve">a few narrow </w:t>
      </w:r>
      <w:r w:rsidRPr="00253BC4" w:rsidR="00253BC4">
        <w:rPr>
          <w:szCs w:val="24"/>
        </w:rPr>
        <w:t>circumstances</w:t>
      </w:r>
      <w:r w:rsidRPr="00253BC4" w:rsidR="00253BC4">
        <w:rPr>
          <w:szCs w:val="24"/>
        </w:rPr>
        <w:t xml:space="preserve"> not pertinent here, “[a] radio frequency device may not be operated prior to</w:t>
      </w:r>
      <w:r w:rsidR="00253BC4">
        <w:rPr>
          <w:szCs w:val="24"/>
        </w:rPr>
        <w:t xml:space="preserve"> </w:t>
      </w:r>
      <w:r w:rsidRPr="00253BC4" w:rsidR="00253BC4">
        <w:rPr>
          <w:szCs w:val="24"/>
        </w:rPr>
        <w:t>equipment authorization.”</w:t>
      </w:r>
      <w:r>
        <w:rPr>
          <w:rStyle w:val="FootnoteReference"/>
          <w:szCs w:val="24"/>
        </w:rPr>
        <w:footnoteReference w:id="6"/>
      </w:r>
      <w:r w:rsidR="00253BC4">
        <w:rPr>
          <w:szCs w:val="24"/>
        </w:rPr>
        <w:t xml:space="preserve"> </w:t>
      </w:r>
      <w:r w:rsidRPr="00253BC4" w:rsidR="00253BC4">
        <w:rPr>
          <w:szCs w:val="24"/>
        </w:rPr>
        <w:t xml:space="preserve"> </w:t>
      </w:r>
      <w:r w:rsidR="005D7F10">
        <w:rPr>
          <w:szCs w:val="24"/>
        </w:rPr>
        <w:t>As of</w:t>
      </w:r>
      <w:r w:rsidRPr="00B706A0">
        <w:rPr>
          <w:szCs w:val="24"/>
        </w:rPr>
        <w:t xml:space="preserve"> </w:t>
      </w:r>
      <w:r w:rsidRPr="00B706A0" w:rsidR="00B706A0">
        <w:rPr>
          <w:szCs w:val="24"/>
        </w:rPr>
        <w:t>April 4, 2018</w:t>
      </w:r>
      <w:r w:rsidRPr="00B706A0" w:rsidR="00056B81">
        <w:rPr>
          <w:szCs w:val="24"/>
        </w:rPr>
        <w:t xml:space="preserve">, </w:t>
      </w:r>
      <w:r w:rsidR="003F7CBD">
        <w:rPr>
          <w:szCs w:val="24"/>
        </w:rPr>
        <w:t xml:space="preserve">the transmitter </w:t>
      </w:r>
      <w:r w:rsidR="00965EB3">
        <w:rPr>
          <w:szCs w:val="24"/>
        </w:rPr>
        <w:t>being used for this</w:t>
      </w:r>
      <w:r w:rsidR="003F7CBD">
        <w:rPr>
          <w:szCs w:val="24"/>
        </w:rPr>
        <w:t xml:space="preserve"> station was not certified for use under Part 15 of the Commission’s rules.</w:t>
      </w:r>
      <w:r w:rsidRPr="00331AE9" w:rsidR="00056B81">
        <w:rPr>
          <w:szCs w:val="24"/>
        </w:rPr>
        <w:t xml:space="preserve">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7"/>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w:t>
      </w:r>
      <w:r w:rsidRPr="00331AE9">
        <w:rPr>
          <w:szCs w:val="24"/>
        </w:rPr>
        <w:t>arrest action against the offending radio equipment, and criminal sanctions including imprisonment.</w:t>
      </w:r>
      <w:r>
        <w:rPr>
          <w:rStyle w:val="FootnoteReference"/>
          <w:szCs w:val="24"/>
        </w:rPr>
        <w:footnoteReference w:id="8"/>
      </w:r>
      <w:r w:rsidRPr="00331AE9">
        <w:rPr>
          <w:szCs w:val="24"/>
        </w:rPr>
        <w:t xml:space="preserve">    </w:t>
      </w:r>
    </w:p>
    <w:p w:rsidR="006058EC" w:rsidRPr="00331AE9" w:rsidP="006058EC">
      <w:pPr>
        <w:widowControl/>
        <w:rPr>
          <w:szCs w:val="24"/>
        </w:rPr>
      </w:pPr>
    </w:p>
    <w:p w:rsidR="006058EC" w:rsidRPr="00331AE9" w:rsidP="006058EC">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9"/>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FE6AE5" w:rsidP="006058EC">
      <w:pPr>
        <w:widowControl/>
        <w:tabs>
          <w:tab w:val="left" w:pos="-360"/>
        </w:tabs>
        <w:rPr>
          <w:noProof/>
          <w:snapToGrid/>
          <w:szCs w:val="24"/>
        </w:rPr>
      </w:pPr>
    </w:p>
    <w:p w:rsidR="00A50ADE" w:rsidP="006058EC">
      <w:pPr>
        <w:widowControl/>
        <w:tabs>
          <w:tab w:val="left" w:pos="-360"/>
        </w:tabs>
        <w:rPr>
          <w:noProof/>
          <w:snapToGrid/>
          <w:szCs w:val="24"/>
        </w:rPr>
      </w:pPr>
    </w:p>
    <w:p w:rsidR="00787017"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even" r:id="rId6"/>
      <w:headerReference w:type="default" r:id="rId7"/>
      <w:footerReference w:type="even" r:id="rId8"/>
      <w:footerReference w:type="default" r:id="rId9"/>
      <w:headerReference w:type="first" r:id="rId10"/>
      <w:footerReference w:type="first" r:id="rId11"/>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3A4E">
      <w:r>
        <w:separator/>
      </w:r>
    </w:p>
  </w:footnote>
  <w:footnote w:type="continuationSeparator" w:id="1">
    <w:p w:rsidR="00123A4E">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3F7CBD" w:rsidP="003F7CBD">
      <w:pPr>
        <w:pStyle w:val="FootnoteText"/>
      </w:pPr>
      <w:r>
        <w:rPr>
          <w:rStyle w:val="FootnoteReference"/>
        </w:rPr>
        <w:footnoteRef/>
      </w:r>
      <w:r>
        <w:t xml:space="preserve"> </w:t>
      </w:r>
      <w:r>
        <w:rPr>
          <w:szCs w:val="24"/>
        </w:rPr>
        <w:t>47 U.S.C. § 15.201</w:t>
      </w:r>
      <w:r w:rsidRPr="00331AE9">
        <w:rPr>
          <w:szCs w:val="24"/>
        </w:rPr>
        <w:t xml:space="preserve">.  </w:t>
      </w:r>
    </w:p>
  </w:footnote>
  <w:footnote w:id="6">
    <w:p w:rsidR="00253BC4">
      <w:pPr>
        <w:pStyle w:val="FootnoteText"/>
      </w:pPr>
      <w:r>
        <w:rPr>
          <w:rStyle w:val="FootnoteReference"/>
        </w:rPr>
        <w:footnoteRef/>
      </w:r>
      <w:r>
        <w:t xml:space="preserve"> 47 CFR § 2.805(a).</w:t>
      </w:r>
    </w:p>
  </w:footnote>
  <w:footnote w:id="7">
    <w:p w:rsidR="00DE4189">
      <w:pPr>
        <w:pStyle w:val="FootnoteText"/>
      </w:pPr>
      <w:r>
        <w:rPr>
          <w:rStyle w:val="FootnoteReference"/>
        </w:rPr>
        <w:footnoteRef/>
      </w:r>
      <w:r>
        <w:t xml:space="preserve"> </w:t>
      </w:r>
      <w:r w:rsidRPr="00331AE9">
        <w:rPr>
          <w:szCs w:val="24"/>
        </w:rPr>
        <w:t>47 U.S.C. § 301.</w:t>
      </w:r>
    </w:p>
  </w:footnote>
  <w:footnote w:id="8">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9">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C23E68"/>
    <w:pPr>
      <w:tabs>
        <w:tab w:val="center" w:pos="4680"/>
        <w:tab w:val="right" w:pos="9360"/>
      </w:tabs>
    </w:pPr>
  </w:style>
  <w:style w:type="character" w:customStyle="1" w:styleId="FooterChar">
    <w:name w:val="Footer Char"/>
    <w:basedOn w:val="DefaultParagraphFont"/>
    <w:link w:val="Footer"/>
    <w:uiPriority w:val="99"/>
    <w:rsid w:val="00C23E68"/>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