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Mark Wigfield</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Pr>
                <w:bCs/>
                <w:sz w:val="22"/>
                <w:szCs w:val="22"/>
              </w:rPr>
              <w:t>418-0253</w:t>
            </w:r>
          </w:p>
          <w:p w:rsidR="00FF232D" w:rsidRPr="008A3940" w:rsidP="00BB4E29">
            <w:pPr>
              <w:rPr>
                <w:bCs/>
                <w:sz w:val="22"/>
                <w:szCs w:val="22"/>
              </w:rPr>
            </w:pPr>
            <w:r>
              <w:rPr>
                <w:bCs/>
                <w:sz w:val="22"/>
                <w:szCs w:val="22"/>
              </w:rPr>
              <w:t>mark.wigfield@</w:t>
            </w:r>
            <w:r w:rsidRPr="008A3940">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20EA" w:rsidP="00D861EE">
            <w:pPr>
              <w:tabs>
                <w:tab w:val="left" w:pos="8625"/>
              </w:tabs>
              <w:spacing w:after="120"/>
              <w:jc w:val="center"/>
              <w:rPr>
                <w:b/>
                <w:bCs/>
                <w:sz w:val="26"/>
                <w:szCs w:val="26"/>
              </w:rPr>
            </w:pPr>
            <w:r>
              <w:rPr>
                <w:b/>
                <w:bCs/>
                <w:sz w:val="26"/>
                <w:szCs w:val="26"/>
              </w:rPr>
              <w:t>FCC SPEEDS ACCESS TO UTILITY POLES TO PROMOTE BROADBAND</w:t>
            </w:r>
            <w:r>
              <w:rPr>
                <w:b/>
                <w:bCs/>
                <w:sz w:val="26"/>
                <w:szCs w:val="26"/>
              </w:rPr>
              <w:t>, 5G</w:t>
            </w:r>
            <w:r>
              <w:rPr>
                <w:b/>
                <w:bCs/>
                <w:sz w:val="26"/>
                <w:szCs w:val="26"/>
              </w:rPr>
              <w:t xml:space="preserve"> DEPLOYMENT</w:t>
            </w:r>
          </w:p>
          <w:p w:rsidR="00CC5E08" w:rsidRPr="008A3940" w:rsidP="00040127">
            <w:pPr>
              <w:tabs>
                <w:tab w:val="left" w:pos="8625"/>
              </w:tabs>
              <w:jc w:val="center"/>
              <w:rPr>
                <w:i/>
              </w:rPr>
            </w:pPr>
            <w:r>
              <w:rPr>
                <w:b/>
                <w:bCs/>
                <w:i/>
              </w:rPr>
              <w:t>Access to Pole</w:t>
            </w:r>
            <w:bookmarkStart w:id="0" w:name="_GoBack"/>
            <w:bookmarkEnd w:id="0"/>
            <w:r>
              <w:rPr>
                <w:b/>
                <w:bCs/>
                <w:i/>
              </w:rPr>
              <w:t>s</w:t>
            </w:r>
            <w:r>
              <w:rPr>
                <w:b/>
                <w:bCs/>
                <w:i/>
              </w:rPr>
              <w:t xml:space="preserve"> Must B</w:t>
            </w:r>
            <w:r>
              <w:rPr>
                <w:b/>
                <w:bCs/>
                <w:i/>
              </w:rPr>
              <w:t>e Swift, Predictable, and Affordable</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Pr>
                <w:b/>
                <w:bCs/>
                <w:i/>
                <w:color w:val="F2F2F2" w:themeColor="background1" w:themeShade="F2"/>
                <w:sz w:val="28"/>
                <w:szCs w:val="32"/>
              </w:rPr>
              <w:t xml:space="preserve"> </w:t>
            </w:r>
          </w:p>
          <w:p w:rsidR="00CA394A" w:rsidRPr="001859D7" w:rsidP="00CA394A">
            <w:pPr>
              <w:tabs>
                <w:tab w:val="left" w:pos="8640"/>
              </w:tabs>
              <w:rPr>
                <w:sz w:val="22"/>
                <w:szCs w:val="22"/>
              </w:rPr>
            </w:pPr>
            <w:r w:rsidRPr="001859D7">
              <w:rPr>
                <w:sz w:val="22"/>
                <w:szCs w:val="22"/>
              </w:rPr>
              <w:t xml:space="preserve">WASHINGTON, </w:t>
            </w:r>
            <w:r w:rsidRPr="001859D7">
              <w:rPr>
                <w:sz w:val="22"/>
                <w:szCs w:val="22"/>
              </w:rPr>
              <w:t>August 2</w:t>
            </w:r>
            <w:r w:rsidRPr="001859D7">
              <w:rPr>
                <w:sz w:val="22"/>
                <w:szCs w:val="22"/>
              </w:rPr>
              <w:t xml:space="preserve">, </w:t>
            </w:r>
            <w:r w:rsidRPr="001859D7">
              <w:rPr>
                <w:sz w:val="22"/>
                <w:szCs w:val="22"/>
              </w:rPr>
              <w:t>2018</w:t>
            </w:r>
            <w:r w:rsidRPr="001859D7">
              <w:rPr>
                <w:sz w:val="22"/>
                <w:szCs w:val="22"/>
              </w:rPr>
              <w:t>—</w:t>
            </w:r>
            <w:r w:rsidRPr="001859D7">
              <w:rPr>
                <w:sz w:val="22"/>
                <w:szCs w:val="22"/>
              </w:rPr>
              <w:t xml:space="preserve">The Federal Communications Commission </w:t>
            </w:r>
            <w:r w:rsidRPr="001859D7">
              <w:rPr>
                <w:sz w:val="22"/>
                <w:szCs w:val="22"/>
              </w:rPr>
              <w:t>continued its efforts to promote broadband deployment</w:t>
            </w:r>
            <w:r w:rsidRPr="001859D7">
              <w:rPr>
                <w:sz w:val="22"/>
                <w:szCs w:val="22"/>
              </w:rPr>
              <w:t xml:space="preserve"> and competition</w:t>
            </w:r>
            <w:r w:rsidRPr="001859D7">
              <w:rPr>
                <w:sz w:val="22"/>
                <w:szCs w:val="22"/>
              </w:rPr>
              <w:t xml:space="preserve"> by speeding the process and reducing the costs of attaching new </w:t>
            </w:r>
            <w:r w:rsidRPr="001859D7">
              <w:rPr>
                <w:sz w:val="22"/>
                <w:szCs w:val="22"/>
              </w:rPr>
              <w:t xml:space="preserve">network </w:t>
            </w:r>
            <w:r w:rsidRPr="001859D7">
              <w:rPr>
                <w:sz w:val="22"/>
                <w:szCs w:val="22"/>
              </w:rPr>
              <w:t>facilities to utility poles.</w:t>
            </w:r>
          </w:p>
          <w:p w:rsidR="00CA394A" w:rsidRPr="001859D7" w:rsidP="00CA394A">
            <w:pPr>
              <w:tabs>
                <w:tab w:val="left" w:pos="8640"/>
              </w:tabs>
              <w:rPr>
                <w:sz w:val="22"/>
                <w:szCs w:val="22"/>
              </w:rPr>
            </w:pPr>
          </w:p>
          <w:p w:rsidR="006713A8" w:rsidRPr="001859D7" w:rsidP="00CA394A">
            <w:pPr>
              <w:tabs>
                <w:tab w:val="left" w:pos="8640"/>
              </w:tabs>
              <w:rPr>
                <w:sz w:val="22"/>
                <w:szCs w:val="22"/>
              </w:rPr>
            </w:pPr>
            <w:r w:rsidRPr="001859D7">
              <w:rPr>
                <w:sz w:val="22"/>
                <w:szCs w:val="22"/>
              </w:rPr>
              <w:t xml:space="preserve">To enable broadband providers to enter </w:t>
            </w:r>
            <w:r w:rsidRPr="001859D7">
              <w:rPr>
                <w:sz w:val="22"/>
                <w:szCs w:val="22"/>
              </w:rPr>
              <w:t>new markets and deploy high-speed networks, a</w:t>
            </w:r>
            <w:r w:rsidRPr="001859D7">
              <w:rPr>
                <w:sz w:val="22"/>
                <w:szCs w:val="22"/>
              </w:rPr>
              <w:t xml:space="preserve">ccess to </w:t>
            </w:r>
            <w:r w:rsidRPr="001859D7">
              <w:rPr>
                <w:sz w:val="22"/>
                <w:szCs w:val="22"/>
              </w:rPr>
              <w:t xml:space="preserve">poles </w:t>
            </w:r>
            <w:r w:rsidRPr="001859D7">
              <w:rPr>
                <w:sz w:val="22"/>
                <w:szCs w:val="22"/>
              </w:rPr>
              <w:t>must be swift, pr</w:t>
            </w:r>
            <w:r w:rsidRPr="001859D7">
              <w:rPr>
                <w:sz w:val="22"/>
                <w:szCs w:val="22"/>
              </w:rPr>
              <w:t xml:space="preserve">edictable, safe, and affordable. </w:t>
            </w:r>
            <w:r>
              <w:rPr>
                <w:sz w:val="22"/>
                <w:szCs w:val="22"/>
              </w:rPr>
              <w:t xml:space="preserve"> </w:t>
            </w:r>
            <w:r w:rsidRPr="001859D7">
              <w:rPr>
                <w:sz w:val="22"/>
                <w:szCs w:val="22"/>
              </w:rPr>
              <w:t xml:space="preserve">Pole access also is </w:t>
            </w:r>
            <w:r w:rsidRPr="001859D7">
              <w:rPr>
                <w:sz w:val="22"/>
                <w:szCs w:val="22"/>
              </w:rPr>
              <w:t xml:space="preserve">essential </w:t>
            </w:r>
            <w:r w:rsidRPr="001859D7">
              <w:rPr>
                <w:sz w:val="22"/>
                <w:szCs w:val="22"/>
              </w:rPr>
              <w:t xml:space="preserve">in the race to </w:t>
            </w:r>
            <w:r w:rsidRPr="001859D7">
              <w:rPr>
                <w:sz w:val="22"/>
                <w:szCs w:val="22"/>
              </w:rPr>
              <w:t xml:space="preserve">deploy </w:t>
            </w:r>
            <w:r w:rsidRPr="001859D7">
              <w:rPr>
                <w:sz w:val="22"/>
                <w:szCs w:val="22"/>
              </w:rPr>
              <w:t xml:space="preserve">fast 5G wireless service, which </w:t>
            </w:r>
            <w:r w:rsidRPr="001859D7">
              <w:rPr>
                <w:sz w:val="22"/>
                <w:szCs w:val="22"/>
              </w:rPr>
              <w:t>relies</w:t>
            </w:r>
            <w:r w:rsidRPr="001859D7">
              <w:rPr>
                <w:sz w:val="22"/>
                <w:szCs w:val="22"/>
              </w:rPr>
              <w:t xml:space="preserve"> </w:t>
            </w:r>
            <w:r w:rsidRPr="001859D7">
              <w:rPr>
                <w:sz w:val="22"/>
                <w:szCs w:val="22"/>
              </w:rPr>
              <w:t xml:space="preserve">on </w:t>
            </w:r>
            <w:r w:rsidRPr="001859D7">
              <w:rPr>
                <w:sz w:val="22"/>
                <w:szCs w:val="22"/>
              </w:rPr>
              <w:t>small cells</w:t>
            </w:r>
            <w:r w:rsidRPr="001859D7">
              <w:rPr>
                <w:sz w:val="22"/>
                <w:szCs w:val="22"/>
              </w:rPr>
              <w:t xml:space="preserve"> and wireline </w:t>
            </w:r>
            <w:r w:rsidRPr="001859D7">
              <w:rPr>
                <w:sz w:val="22"/>
                <w:szCs w:val="22"/>
              </w:rPr>
              <w:t>backhaul.</w:t>
            </w:r>
          </w:p>
          <w:p w:rsidR="006E37DD" w:rsidRPr="001859D7" w:rsidP="00CA394A">
            <w:pPr>
              <w:tabs>
                <w:tab w:val="left" w:pos="8640"/>
              </w:tabs>
              <w:rPr>
                <w:sz w:val="22"/>
                <w:szCs w:val="22"/>
              </w:rPr>
            </w:pPr>
          </w:p>
          <w:p w:rsidR="006E37DD" w:rsidRPr="001859D7" w:rsidP="006E37DD">
            <w:pPr>
              <w:tabs>
                <w:tab w:val="left" w:pos="8640"/>
              </w:tabs>
              <w:rPr>
                <w:rStyle w:val="FootnoteReference"/>
                <w:sz w:val="22"/>
                <w:szCs w:val="22"/>
                <w:highlight w:val="yellow"/>
              </w:rPr>
            </w:pPr>
            <w:r w:rsidRPr="001859D7">
              <w:rPr>
                <w:sz w:val="22"/>
                <w:szCs w:val="22"/>
              </w:rPr>
              <w:t>The Commission</w:t>
            </w:r>
            <w:r w:rsidRPr="001859D7">
              <w:rPr>
                <w:sz w:val="22"/>
                <w:szCs w:val="22"/>
              </w:rPr>
              <w:t xml:space="preserve"> </w:t>
            </w:r>
            <w:r w:rsidRPr="001859D7">
              <w:rPr>
                <w:sz w:val="22"/>
                <w:szCs w:val="22"/>
              </w:rPr>
              <w:t xml:space="preserve">fundamentally </w:t>
            </w:r>
            <w:r w:rsidRPr="001859D7">
              <w:rPr>
                <w:sz w:val="22"/>
                <w:szCs w:val="22"/>
              </w:rPr>
              <w:t xml:space="preserve">reformed </w:t>
            </w:r>
            <w:r w:rsidRPr="001859D7">
              <w:rPr>
                <w:sz w:val="22"/>
                <w:szCs w:val="22"/>
              </w:rPr>
              <w:t>the</w:t>
            </w:r>
            <w:r w:rsidRPr="001859D7">
              <w:rPr>
                <w:sz w:val="22"/>
                <w:szCs w:val="22"/>
              </w:rPr>
              <w:t xml:space="preserve"> federal</w:t>
            </w:r>
            <w:r w:rsidRPr="001859D7">
              <w:rPr>
                <w:sz w:val="22"/>
                <w:szCs w:val="22"/>
              </w:rPr>
              <w:t xml:space="preserve"> framework </w:t>
            </w:r>
            <w:r w:rsidRPr="001859D7">
              <w:rPr>
                <w:sz w:val="22"/>
                <w:szCs w:val="22"/>
              </w:rPr>
              <w:t>governing pole attachments</w:t>
            </w:r>
            <w:r w:rsidRPr="001859D7">
              <w:rPr>
                <w:sz w:val="22"/>
                <w:szCs w:val="22"/>
              </w:rPr>
              <w:t xml:space="preserve"> by adopting a process</w:t>
            </w:r>
            <w:r w:rsidRPr="001859D7">
              <w:rPr>
                <w:sz w:val="22"/>
                <w:szCs w:val="22"/>
              </w:rPr>
              <w:t xml:space="preserve"> </w:t>
            </w:r>
            <w:r w:rsidRPr="001859D7">
              <w:rPr>
                <w:sz w:val="22"/>
                <w:szCs w:val="22"/>
              </w:rPr>
              <w:t>in which the new attacher moves existing attachments and performs all other work required to make the pole ready for a new attachment.</w:t>
            </w:r>
            <w:r>
              <w:rPr>
                <w:sz w:val="22"/>
                <w:szCs w:val="22"/>
              </w:rPr>
              <w:t xml:space="preserve"> </w:t>
            </w:r>
            <w:r w:rsidRPr="001859D7">
              <w:rPr>
                <w:sz w:val="22"/>
                <w:szCs w:val="22"/>
              </w:rPr>
              <w:t xml:space="preserve"> </w:t>
            </w:r>
            <w:r w:rsidRPr="001859D7">
              <w:rPr>
                <w:sz w:val="22"/>
                <w:szCs w:val="22"/>
              </w:rPr>
              <w:t>Called “one-touch, make-re</w:t>
            </w:r>
            <w:r w:rsidRPr="001859D7">
              <w:rPr>
                <w:sz w:val="22"/>
                <w:szCs w:val="22"/>
              </w:rPr>
              <w:t xml:space="preserve">ady,” this process </w:t>
            </w:r>
            <w:r w:rsidRPr="001859D7">
              <w:rPr>
                <w:sz w:val="22"/>
                <w:szCs w:val="22"/>
              </w:rPr>
              <w:t>speeds and reduces the cost of broadband deployment by allowing the par</w:t>
            </w:r>
            <w:r>
              <w:rPr>
                <w:sz w:val="22"/>
                <w:szCs w:val="22"/>
              </w:rPr>
              <w:t>ty with the strongest incentive</w:t>
            </w:r>
            <w:r w:rsidRPr="001859D7">
              <w:rPr>
                <w:sz w:val="22"/>
                <w:szCs w:val="22"/>
              </w:rPr>
              <w:t>—the new attacher—to prepare the pole quickly, rather than spreading the work across multiple parties.</w:t>
            </w:r>
            <w:r w:rsidRPr="001859D7">
              <w:rPr>
                <w:rStyle w:val="FootnoteReference"/>
                <w:sz w:val="22"/>
                <w:szCs w:val="22"/>
              </w:rPr>
              <w:t xml:space="preserve"> </w:t>
            </w:r>
          </w:p>
          <w:p w:rsidR="006E37DD" w:rsidRPr="001859D7" w:rsidP="006E37DD">
            <w:pPr>
              <w:tabs>
                <w:tab w:val="left" w:pos="8640"/>
              </w:tabs>
              <w:rPr>
                <w:rStyle w:val="FootnoteReference"/>
                <w:sz w:val="22"/>
                <w:szCs w:val="22"/>
              </w:rPr>
            </w:pPr>
          </w:p>
          <w:p w:rsidR="006E15B6" w:rsidRPr="001859D7" w:rsidP="006E37DD">
            <w:pPr>
              <w:tabs>
                <w:tab w:val="left" w:pos="8640"/>
              </w:tabs>
              <w:rPr>
                <w:sz w:val="22"/>
                <w:szCs w:val="22"/>
              </w:rPr>
            </w:pPr>
            <w:r w:rsidRPr="001859D7">
              <w:rPr>
                <w:sz w:val="22"/>
                <w:szCs w:val="22"/>
              </w:rPr>
              <w:t xml:space="preserve">By some estimates, </w:t>
            </w:r>
            <w:r w:rsidRPr="001859D7">
              <w:rPr>
                <w:sz w:val="22"/>
                <w:szCs w:val="22"/>
              </w:rPr>
              <w:t xml:space="preserve">one-touch, </w:t>
            </w:r>
            <w:r w:rsidRPr="001859D7">
              <w:rPr>
                <w:sz w:val="22"/>
                <w:szCs w:val="22"/>
              </w:rPr>
              <w:t xml:space="preserve">make-ready </w:t>
            </w:r>
            <w:r w:rsidRPr="001859D7">
              <w:rPr>
                <w:sz w:val="22"/>
                <w:szCs w:val="22"/>
              </w:rPr>
              <w:t>a</w:t>
            </w:r>
            <w:r w:rsidRPr="001859D7">
              <w:rPr>
                <w:sz w:val="22"/>
                <w:szCs w:val="22"/>
              </w:rPr>
              <w:t>lone could result in approximately 8.3 million incremental premises passed with fiber and about $12.6 billion in incremental fiber capital expenditures.</w:t>
            </w:r>
            <w:r w:rsidRPr="001859D7">
              <w:rPr>
                <w:sz w:val="22"/>
                <w:szCs w:val="22"/>
              </w:rPr>
              <w:t xml:space="preserve">  The process will not apply </w:t>
            </w:r>
            <w:r w:rsidRPr="001859D7">
              <w:rPr>
                <w:sz w:val="22"/>
                <w:szCs w:val="22"/>
              </w:rPr>
              <w:t xml:space="preserve">to </w:t>
            </w:r>
            <w:r w:rsidRPr="001859D7">
              <w:rPr>
                <w:sz w:val="22"/>
                <w:szCs w:val="22"/>
              </w:rPr>
              <w:t xml:space="preserve">more complicated </w:t>
            </w:r>
            <w:r w:rsidRPr="001859D7">
              <w:rPr>
                <w:sz w:val="22"/>
                <w:szCs w:val="22"/>
              </w:rPr>
              <w:t xml:space="preserve">attachments, </w:t>
            </w:r>
            <w:r w:rsidRPr="001859D7">
              <w:rPr>
                <w:sz w:val="22"/>
                <w:szCs w:val="22"/>
              </w:rPr>
              <w:t xml:space="preserve">or above the “communications </w:t>
            </w:r>
            <w:r w:rsidRPr="001859D7">
              <w:rPr>
                <w:sz w:val="22"/>
                <w:szCs w:val="22"/>
              </w:rPr>
              <w:t>space” of a pole, where safety an</w:t>
            </w:r>
            <w:r w:rsidRPr="001859D7">
              <w:rPr>
                <w:sz w:val="22"/>
                <w:szCs w:val="22"/>
              </w:rPr>
              <w:t>d reliability ri</w:t>
            </w:r>
            <w:r w:rsidRPr="001859D7">
              <w:rPr>
                <w:sz w:val="22"/>
                <w:szCs w:val="22"/>
              </w:rPr>
              <w:t>sks are greater, but the Order improves current processes for attachments in these spaces.</w:t>
            </w:r>
          </w:p>
          <w:p w:rsidR="006E37DD" w:rsidRPr="001859D7" w:rsidP="006E37DD">
            <w:pPr>
              <w:tabs>
                <w:tab w:val="left" w:pos="8640"/>
              </w:tabs>
              <w:rPr>
                <w:sz w:val="22"/>
                <w:szCs w:val="22"/>
              </w:rPr>
            </w:pPr>
          </w:p>
          <w:p w:rsidR="00850E26" w:rsidRPr="00593FE6" w:rsidP="00040127">
            <w:pPr>
              <w:tabs>
                <w:tab w:val="left" w:pos="8640"/>
              </w:tabs>
              <w:rPr>
                <w:rStyle w:val="Hyperlink"/>
                <w:color w:val="auto"/>
                <w:sz w:val="22"/>
                <w:szCs w:val="22"/>
                <w:u w:val="none"/>
              </w:rPr>
            </w:pPr>
            <w:r w:rsidRPr="001859D7">
              <w:rPr>
                <w:sz w:val="22"/>
                <w:szCs w:val="22"/>
              </w:rPr>
              <w:t xml:space="preserve">The Commission </w:t>
            </w:r>
            <w:r w:rsidRPr="001859D7">
              <w:rPr>
                <w:sz w:val="22"/>
                <w:szCs w:val="22"/>
              </w:rPr>
              <w:t xml:space="preserve">also </w:t>
            </w:r>
            <w:r w:rsidRPr="001859D7">
              <w:rPr>
                <w:sz w:val="22"/>
                <w:szCs w:val="22"/>
              </w:rPr>
              <w:t>address</w:t>
            </w:r>
            <w:r w:rsidRPr="001859D7">
              <w:rPr>
                <w:sz w:val="22"/>
                <w:szCs w:val="22"/>
              </w:rPr>
              <w:t>ed</w:t>
            </w:r>
            <w:r w:rsidRPr="001859D7">
              <w:rPr>
                <w:sz w:val="22"/>
                <w:szCs w:val="22"/>
              </w:rPr>
              <w:t xml:space="preserve"> two forms of state and local regulatory barriers to the deployment of wireline and wi</w:t>
            </w:r>
            <w:r w:rsidRPr="001859D7">
              <w:rPr>
                <w:sz w:val="22"/>
                <w:szCs w:val="22"/>
              </w:rPr>
              <w:t xml:space="preserve">reless facilities.  </w:t>
            </w:r>
            <w:r w:rsidRPr="001859D7">
              <w:rPr>
                <w:sz w:val="22"/>
                <w:szCs w:val="22"/>
              </w:rPr>
              <w:t xml:space="preserve">The Report and Order </w:t>
            </w:r>
            <w:r w:rsidRPr="001859D7">
              <w:rPr>
                <w:sz w:val="22"/>
                <w:szCs w:val="22"/>
              </w:rPr>
              <w:t>make</w:t>
            </w:r>
            <w:r w:rsidRPr="001859D7">
              <w:rPr>
                <w:sz w:val="22"/>
                <w:szCs w:val="22"/>
              </w:rPr>
              <w:t>s</w:t>
            </w:r>
            <w:r w:rsidRPr="001859D7">
              <w:rPr>
                <w:sz w:val="22"/>
                <w:szCs w:val="22"/>
              </w:rPr>
              <w:t xml:space="preserve"> clear that </w:t>
            </w:r>
            <w:r w:rsidRPr="001859D7">
              <w:rPr>
                <w:sz w:val="22"/>
                <w:szCs w:val="22"/>
              </w:rPr>
              <w:t xml:space="preserve">the FCC </w:t>
            </w:r>
            <w:r w:rsidRPr="001859D7">
              <w:rPr>
                <w:sz w:val="22"/>
                <w:szCs w:val="22"/>
              </w:rPr>
              <w:t xml:space="preserve">will preempt, on a case-by-case basis, state and local laws that inhibit the rebuilding or restoration of broadband infrastructure after a disaster. </w:t>
            </w:r>
            <w:r>
              <w:rPr>
                <w:sz w:val="22"/>
                <w:szCs w:val="22"/>
              </w:rPr>
              <w:t xml:space="preserve"> </w:t>
            </w:r>
            <w:r w:rsidRPr="001859D7">
              <w:rPr>
                <w:sz w:val="22"/>
                <w:szCs w:val="22"/>
              </w:rPr>
              <w:t>And in a D</w:t>
            </w:r>
            <w:r w:rsidRPr="001859D7">
              <w:rPr>
                <w:sz w:val="22"/>
                <w:szCs w:val="22"/>
              </w:rPr>
              <w:t>eclaratory Ruling,</w:t>
            </w:r>
            <w:r w:rsidRPr="001859D7">
              <w:rPr>
                <w:sz w:val="22"/>
                <w:szCs w:val="22"/>
              </w:rPr>
              <w:t xml:space="preserve"> the FCC </w:t>
            </w:r>
            <w:r w:rsidRPr="001859D7">
              <w:rPr>
                <w:sz w:val="22"/>
                <w:szCs w:val="22"/>
              </w:rPr>
              <w:t>mad</w:t>
            </w:r>
            <w:r w:rsidRPr="001859D7">
              <w:rPr>
                <w:sz w:val="22"/>
                <w:szCs w:val="22"/>
              </w:rPr>
              <w:t xml:space="preserve">e clear </w:t>
            </w:r>
            <w:r w:rsidRPr="001859D7">
              <w:rPr>
                <w:sz w:val="22"/>
                <w:szCs w:val="22"/>
              </w:rPr>
              <w:t xml:space="preserve">that blanket </w:t>
            </w:r>
            <w:r w:rsidRPr="001859D7">
              <w:rPr>
                <w:sz w:val="22"/>
                <w:szCs w:val="22"/>
              </w:rPr>
              <w:t>state and local moratoria on telecommunications services and faci</w:t>
            </w:r>
            <w:r w:rsidRPr="001859D7">
              <w:rPr>
                <w:sz w:val="22"/>
                <w:szCs w:val="22"/>
              </w:rPr>
              <w:t xml:space="preserve">lities deployment are barred by the </w:t>
            </w:r>
            <w:r w:rsidRPr="00593FE6">
              <w:rPr>
                <w:sz w:val="22"/>
                <w:szCs w:val="22"/>
              </w:rPr>
              <w:t xml:space="preserve">Communications Act </w:t>
            </w:r>
            <w:r w:rsidRPr="00593FE6">
              <w:rPr>
                <w:sz w:val="22"/>
                <w:szCs w:val="22"/>
              </w:rPr>
              <w:t xml:space="preserve">because they, in </w:t>
            </w:r>
            <w:r w:rsidRPr="00593FE6">
              <w:rPr>
                <w:sz w:val="22"/>
                <w:szCs w:val="22"/>
              </w:rPr>
              <w:t xml:space="preserve">the language </w:t>
            </w:r>
            <w:r w:rsidRPr="00593FE6">
              <w:rPr>
                <w:sz w:val="22"/>
                <w:szCs w:val="22"/>
              </w:rPr>
              <w:t>of Section</w:t>
            </w:r>
            <w:r w:rsidRPr="00593FE6">
              <w:rPr>
                <w:sz w:val="22"/>
                <w:szCs w:val="22"/>
              </w:rPr>
              <w:t xml:space="preserve"> 253(a), “</w:t>
            </w:r>
            <w:r w:rsidRPr="00593FE6">
              <w:rPr>
                <w:sz w:val="22"/>
                <w:szCs w:val="22"/>
              </w:rPr>
              <w:t>prohibit or have the effect of prohibiting the ability of any ent</w:t>
            </w:r>
            <w:r w:rsidRPr="00593FE6">
              <w:rPr>
                <w:sz w:val="22"/>
                <w:szCs w:val="22"/>
              </w:rPr>
              <w:t>ity to provide any interstate or intrastate telecommunications service.”</w:t>
            </w:r>
            <w:r w:rsidRPr="00593FE6">
              <w:t xml:space="preserve">  </w:t>
            </w:r>
          </w:p>
          <w:p w:rsidR="00BD19E8" w:rsidRPr="00593FE6" w:rsidP="00DA7B44">
            <w:pPr>
              <w:rPr>
                <w:rStyle w:val="Hyperlink"/>
                <w:color w:val="auto"/>
                <w:sz w:val="22"/>
                <w:szCs w:val="22"/>
                <w:u w:val="none"/>
              </w:rPr>
            </w:pPr>
          </w:p>
          <w:p w:rsidR="00E36420" w:rsidRPr="00593FE6" w:rsidP="00E36420">
            <w:pPr>
              <w:rPr>
                <w:sz w:val="22"/>
                <w:szCs w:val="22"/>
              </w:rPr>
            </w:pPr>
            <w:r w:rsidRPr="00593FE6">
              <w:rPr>
                <w:sz w:val="22"/>
                <w:szCs w:val="22"/>
              </w:rPr>
              <w:t xml:space="preserve">Action by the Commission August 2, 2018 by Report and Order and Declaratory Ruling (FCC 18-111).  Chairman Pai, Commissioners </w:t>
            </w:r>
            <w:r w:rsidRPr="00593FE6">
              <w:rPr>
                <w:sz w:val="22"/>
                <w:szCs w:val="22"/>
              </w:rPr>
              <w:t>O’Rielly</w:t>
            </w:r>
            <w:r w:rsidRPr="00593FE6">
              <w:rPr>
                <w:sz w:val="22"/>
                <w:szCs w:val="22"/>
              </w:rPr>
              <w:t xml:space="preserve">, and Carr approving.  Commissioner Rosenworcel </w:t>
            </w:r>
            <w:r w:rsidRPr="00593FE6">
              <w:rPr>
                <w:sz w:val="22"/>
                <w:szCs w:val="22"/>
              </w:rPr>
              <w:t xml:space="preserve">approving in part and </w:t>
            </w:r>
            <w:r w:rsidRPr="00593FE6">
              <w:rPr>
                <w:sz w:val="22"/>
                <w:szCs w:val="22"/>
              </w:rPr>
              <w:t>dissenting</w:t>
            </w:r>
            <w:r w:rsidRPr="00593FE6">
              <w:rPr>
                <w:sz w:val="22"/>
                <w:szCs w:val="22"/>
              </w:rPr>
              <w:t xml:space="preserve"> in part</w:t>
            </w:r>
            <w:r w:rsidRPr="00593FE6">
              <w:rPr>
                <w:sz w:val="22"/>
                <w:szCs w:val="22"/>
              </w:rPr>
              <w:t xml:space="preserve">.  Chairman Pai, Commissioners </w:t>
            </w:r>
            <w:r w:rsidRPr="00593FE6">
              <w:rPr>
                <w:sz w:val="22"/>
                <w:szCs w:val="22"/>
              </w:rPr>
              <w:t>O’R</w:t>
            </w:r>
            <w:r w:rsidRPr="00593FE6">
              <w:rPr>
                <w:sz w:val="22"/>
                <w:szCs w:val="22"/>
              </w:rPr>
              <w:t>ielly</w:t>
            </w:r>
            <w:r w:rsidRPr="00593FE6">
              <w:rPr>
                <w:sz w:val="22"/>
                <w:szCs w:val="22"/>
              </w:rPr>
              <w:t>, Carr, and Rosenworcel issuing separate statements.</w:t>
            </w:r>
          </w:p>
          <w:p w:rsidR="00E36420" w:rsidRPr="00593FE6" w:rsidP="00E36420">
            <w:pPr>
              <w:rPr>
                <w:sz w:val="22"/>
                <w:szCs w:val="22"/>
              </w:rPr>
            </w:pPr>
          </w:p>
          <w:p w:rsidR="00E36420" w:rsidRPr="00E36420" w:rsidP="00E36420">
            <w:pPr>
              <w:rPr>
                <w:sz w:val="22"/>
                <w:szCs w:val="22"/>
              </w:rPr>
            </w:pPr>
            <w:r w:rsidRPr="00593FE6">
              <w:rPr>
                <w:sz w:val="22"/>
                <w:szCs w:val="22"/>
              </w:rPr>
              <w:t>WC Docket No. 17-84; WT Docket No. 17-79</w:t>
            </w:r>
          </w:p>
          <w:p w:rsidR="00E36420"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Pr>
                <w:b/>
                <w:bCs/>
                <w:sz w:val="18"/>
                <w:szCs w:val="18"/>
              </w:rPr>
              <w:t xml:space="preserve">ice of Media Relations: </w:t>
            </w:r>
            <w:r>
              <w:rPr>
                <w:b/>
                <w:bCs/>
                <w:sz w:val="18"/>
                <w:szCs w:val="18"/>
              </w:rPr>
              <w:t xml:space="preserve">(202) </w:t>
            </w:r>
            <w:r>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 xml:space="preserve">This is an </w:t>
            </w:r>
            <w:r w:rsidRPr="00986C92">
              <w:rPr>
                <w:bCs/>
                <w:i/>
                <w:sz w:val="18"/>
                <w:szCs w:val="18"/>
              </w:rPr>
              <w:t>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BA1432">
      <w:pgSz w:w="12240" w:h="15840"/>
      <w:pgMar w:top="63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customStyle="1" w:styleId="ParaNum">
    <w:name w:val="ParaNum"/>
    <w:basedOn w:val="Normal"/>
    <w:link w:val="ParaNumChar"/>
    <w:qFormat/>
    <w:rsid w:val="00CA394A"/>
    <w:pPr>
      <w:numPr>
        <w:numId w:val="2"/>
      </w:numPr>
      <w:tabs>
        <w:tab w:val="clear" w:pos="1080"/>
        <w:tab w:val="num" w:pos="1440"/>
      </w:tabs>
      <w:spacing w:after="120" w:line="259" w:lineRule="auto"/>
    </w:pPr>
    <w:rPr>
      <w:rFonts w:asciiTheme="minorHAnsi" w:eastAsiaTheme="minorHAnsi" w:hAnsiTheme="minorHAnsi" w:cstheme="minorBidi"/>
      <w:sz w:val="22"/>
      <w:szCs w:val="22"/>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CA394A"/>
    <w:pPr>
      <w:spacing w:after="120"/>
    </w:p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rsid w:val="00CA394A"/>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A394A"/>
    <w:rPr>
      <w:rFonts w:ascii="Times New Roman" w:hAnsi="Times New Roman"/>
      <w:dstrike w:val="0"/>
      <w:color w:val="auto"/>
      <w:sz w:val="20"/>
      <w:vertAlign w:val="superscript"/>
    </w:rPr>
  </w:style>
  <w:style w:type="character" w:customStyle="1" w:styleId="ParaNumChar">
    <w:name w:val="ParaNum Char"/>
    <w:link w:val="ParaNum"/>
    <w:locked/>
    <w:rsid w:val="00CA394A"/>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435BE"/>
    <w:rPr>
      <w:rFonts w:ascii="Segoe UI" w:hAnsi="Segoe UI" w:cs="Segoe UI"/>
      <w:sz w:val="18"/>
      <w:szCs w:val="18"/>
    </w:rPr>
  </w:style>
  <w:style w:type="character" w:customStyle="1" w:styleId="BalloonTextChar">
    <w:name w:val="Balloon Text Char"/>
    <w:basedOn w:val="DefaultParagraphFont"/>
    <w:link w:val="BalloonText"/>
    <w:semiHidden/>
    <w:rsid w:val="0014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