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9252E" w:rsidRPr="005577AD" w:rsidP="0049252E">
      <w:pPr>
        <w:jc w:val="center"/>
        <w:rPr>
          <w:b/>
          <w:bCs/>
          <w:caps/>
          <w:szCs w:val="22"/>
        </w:rPr>
      </w:pPr>
      <w:bookmarkStart w:id="0" w:name="_GoBack"/>
      <w:bookmarkEnd w:id="0"/>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544558" w:rsidP="00544558">
      <w:pPr>
        <w:tabs>
          <w:tab w:val="center" w:pos="4680"/>
        </w:tabs>
        <w:suppressAutoHyphens/>
        <w:ind w:left="720" w:hanging="720"/>
        <w:rPr>
          <w:szCs w:val="22"/>
        </w:rPr>
      </w:pPr>
      <w:r w:rsidRPr="005577AD">
        <w:rPr>
          <w:iCs/>
          <w:szCs w:val="22"/>
        </w:rPr>
        <w:t>Re:</w:t>
      </w:r>
      <w:r>
        <w:rPr>
          <w:szCs w:val="22"/>
        </w:rPr>
        <w:tab/>
      </w:r>
      <w:r w:rsidRPr="009A60BD">
        <w:rPr>
          <w:i/>
        </w:rPr>
        <w:t>LPTV, TV Translator, and FM Broadcast Station Reimbursement</w:t>
      </w:r>
      <w:r>
        <w:t xml:space="preserve">, MB Docket No. 18-214; </w:t>
      </w:r>
      <w:r w:rsidRPr="009A60BD">
        <w:rPr>
          <w:i/>
        </w:rPr>
        <w:t>Expanding the Economic and Innovation Opportunities of Spectrum Through Incentive Auctions</w:t>
      </w:r>
      <w:r>
        <w:t>, GN Docket No. 12-268</w:t>
      </w:r>
    </w:p>
    <w:p w:rsidR="0049252E" w:rsidRPr="005577AD" w:rsidP="0049252E">
      <w:pPr>
        <w:ind w:firstLine="720"/>
        <w:rPr>
          <w:szCs w:val="22"/>
        </w:rPr>
      </w:pPr>
    </w:p>
    <w:p w:rsidR="003B43F1" w:rsidRPr="003B43F1" w:rsidP="003B43F1">
      <w:pPr>
        <w:widowControl/>
        <w:ind w:firstLine="720"/>
        <w:rPr>
          <w:rFonts w:eastAsia="Calibri"/>
          <w:snapToGrid/>
          <w:kern w:val="0"/>
          <w:szCs w:val="22"/>
        </w:rPr>
      </w:pPr>
      <w:r w:rsidRPr="003B43F1">
        <w:rPr>
          <w:rFonts w:eastAsia="Calibri"/>
          <w:snapToGrid/>
          <w:kern w:val="0"/>
          <w:szCs w:val="22"/>
        </w:rPr>
        <w:t>In the Spectrum Act of 2012, Congress recognized the need to make more spectrum available for mobile broadband through the broadcast incentive auction.  Congress also recognized that broadcasters should be reimbursed for costs they incur in the repacking process.</w:t>
      </w:r>
    </w:p>
    <w:p w:rsidR="003B43F1" w:rsidRPr="003B43F1" w:rsidP="003B43F1">
      <w:pPr>
        <w:widowControl/>
        <w:rPr>
          <w:rFonts w:eastAsia="Calibri"/>
          <w:snapToGrid/>
          <w:kern w:val="0"/>
          <w:szCs w:val="22"/>
        </w:rPr>
      </w:pPr>
    </w:p>
    <w:p w:rsidR="003B43F1" w:rsidRPr="003B43F1" w:rsidP="003B43F1">
      <w:pPr>
        <w:widowControl/>
        <w:ind w:firstLine="720"/>
        <w:rPr>
          <w:rFonts w:eastAsia="Calibri"/>
          <w:snapToGrid/>
          <w:kern w:val="0"/>
          <w:szCs w:val="22"/>
        </w:rPr>
      </w:pPr>
      <w:r w:rsidRPr="003B43F1">
        <w:rPr>
          <w:rFonts w:eastAsia="Calibri"/>
          <w:snapToGrid/>
          <w:kern w:val="0"/>
          <w:szCs w:val="22"/>
        </w:rPr>
        <w:t>But the Spectrum Act imposed limits on the FCC’s authority to reimburse the more than 2,000 Low Power TV (LPTV) stations and TV translators that could be impacted by the repacking process, as well as hundreds of FM stations.  Thankfully, Congress addressed this issue in the Reimbursement Expansion Act, which passed this year.  In it, Congress allocated additional funding and gave the FCC the authority to reimburse LPTVs, FM stations, and translators.  This is an important step that will likely help keep many of these stations on the air and minimize disruptions in service associated with the repack.  Today’s Notice begins the process of implementing those decisions.</w:t>
      </w:r>
    </w:p>
    <w:p w:rsidR="003B43F1" w:rsidRPr="003B43F1" w:rsidP="003B43F1">
      <w:pPr>
        <w:widowControl/>
        <w:rPr>
          <w:rFonts w:eastAsia="Calibri"/>
          <w:snapToGrid/>
          <w:kern w:val="0"/>
          <w:szCs w:val="22"/>
        </w:rPr>
      </w:pPr>
    </w:p>
    <w:p w:rsidR="003B43F1" w:rsidRPr="003B43F1" w:rsidP="003B43F1">
      <w:pPr>
        <w:widowControl/>
        <w:rPr>
          <w:rFonts w:eastAsia="Calibri"/>
          <w:snapToGrid/>
          <w:kern w:val="0"/>
          <w:szCs w:val="22"/>
        </w:rPr>
      </w:pPr>
      <w:r w:rsidRPr="003B43F1">
        <w:rPr>
          <w:rFonts w:eastAsia="Calibri"/>
          <w:snapToGrid/>
          <w:kern w:val="0"/>
          <w:szCs w:val="22"/>
        </w:rPr>
        <w:tab/>
        <w:t>This additional funding will help keep diverse voices on the air and help the many rural and remote communities that rely on these stations for emergency alerts and information.</w:t>
      </w:r>
    </w:p>
    <w:p w:rsidR="003B43F1" w:rsidRPr="003B43F1" w:rsidP="003B43F1">
      <w:pPr>
        <w:widowControl/>
        <w:rPr>
          <w:rFonts w:eastAsia="Calibri"/>
          <w:snapToGrid/>
          <w:kern w:val="0"/>
          <w:szCs w:val="22"/>
        </w:rPr>
      </w:pPr>
      <w:r w:rsidRPr="003B43F1">
        <w:rPr>
          <w:rFonts w:eastAsia="Calibri"/>
          <w:snapToGrid/>
          <w:kern w:val="0"/>
          <w:szCs w:val="22"/>
        </w:rPr>
        <w:tab/>
      </w:r>
    </w:p>
    <w:p w:rsidR="003B43F1" w:rsidRPr="003B43F1" w:rsidP="003B43F1">
      <w:pPr>
        <w:widowControl/>
        <w:ind w:firstLine="720"/>
        <w:rPr>
          <w:rFonts w:eastAsia="Calibri"/>
          <w:snapToGrid/>
          <w:kern w:val="0"/>
          <w:szCs w:val="22"/>
        </w:rPr>
      </w:pPr>
      <w:r w:rsidRPr="003B43F1">
        <w:rPr>
          <w:rFonts w:eastAsia="Calibri"/>
          <w:snapToGrid/>
          <w:kern w:val="0"/>
          <w:szCs w:val="22"/>
        </w:rPr>
        <w:t>I want to thank the Media Bureau for its work on the Notice.  It has my support.</w:t>
      </w:r>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18-</w:t>
    </w:r>
    <w:r w:rsidR="00544558">
      <w:rPr>
        <w:spacing w:val="-2"/>
      </w:rPr>
      <w:t>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77D"/>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AE47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E477D"/>
    <w:pPr>
      <w:keepNext/>
      <w:numPr>
        <w:ilvl w:val="1"/>
        <w:numId w:val="3"/>
      </w:numPr>
      <w:spacing w:after="120"/>
      <w:outlineLvl w:val="1"/>
    </w:pPr>
    <w:rPr>
      <w:b/>
    </w:rPr>
  </w:style>
  <w:style w:type="paragraph" w:styleId="Heading3">
    <w:name w:val="heading 3"/>
    <w:basedOn w:val="Normal"/>
    <w:next w:val="ParaNum"/>
    <w:qFormat/>
    <w:rsid w:val="00AE477D"/>
    <w:pPr>
      <w:keepNext/>
      <w:numPr>
        <w:ilvl w:val="2"/>
        <w:numId w:val="3"/>
      </w:numPr>
      <w:tabs>
        <w:tab w:val="left" w:pos="2160"/>
      </w:tabs>
      <w:spacing w:after="120"/>
      <w:outlineLvl w:val="2"/>
    </w:pPr>
    <w:rPr>
      <w:b/>
    </w:rPr>
  </w:style>
  <w:style w:type="paragraph" w:styleId="Heading4">
    <w:name w:val="heading 4"/>
    <w:basedOn w:val="Normal"/>
    <w:next w:val="ParaNum"/>
    <w:qFormat/>
    <w:rsid w:val="00AE477D"/>
    <w:pPr>
      <w:keepNext/>
      <w:numPr>
        <w:ilvl w:val="3"/>
        <w:numId w:val="3"/>
      </w:numPr>
      <w:tabs>
        <w:tab w:val="left" w:pos="2880"/>
      </w:tabs>
      <w:spacing w:after="120"/>
      <w:outlineLvl w:val="3"/>
    </w:pPr>
    <w:rPr>
      <w:b/>
    </w:rPr>
  </w:style>
  <w:style w:type="paragraph" w:styleId="Heading5">
    <w:name w:val="heading 5"/>
    <w:basedOn w:val="Normal"/>
    <w:next w:val="ParaNum"/>
    <w:qFormat/>
    <w:rsid w:val="00AE477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E477D"/>
    <w:pPr>
      <w:numPr>
        <w:ilvl w:val="5"/>
        <w:numId w:val="3"/>
      </w:numPr>
      <w:tabs>
        <w:tab w:val="left" w:pos="4320"/>
      </w:tabs>
      <w:spacing w:after="120"/>
      <w:outlineLvl w:val="5"/>
    </w:pPr>
    <w:rPr>
      <w:b/>
    </w:rPr>
  </w:style>
  <w:style w:type="paragraph" w:styleId="Heading7">
    <w:name w:val="heading 7"/>
    <w:basedOn w:val="Normal"/>
    <w:next w:val="ParaNum"/>
    <w:qFormat/>
    <w:rsid w:val="00AE477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E477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E47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E47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477D"/>
  </w:style>
  <w:style w:type="paragraph" w:customStyle="1" w:styleId="ParaNum">
    <w:name w:val="ParaNum"/>
    <w:basedOn w:val="Normal"/>
    <w:rsid w:val="00AE477D"/>
    <w:pPr>
      <w:numPr>
        <w:numId w:val="2"/>
      </w:numPr>
      <w:tabs>
        <w:tab w:val="clear" w:pos="1080"/>
        <w:tab w:val="num" w:pos="1440"/>
      </w:tabs>
      <w:spacing w:after="120"/>
    </w:pPr>
  </w:style>
  <w:style w:type="paragraph" w:styleId="EndnoteText">
    <w:name w:val="endnote text"/>
    <w:basedOn w:val="Normal"/>
    <w:semiHidden/>
    <w:rsid w:val="00AE477D"/>
    <w:rPr>
      <w:sz w:val="20"/>
    </w:rPr>
  </w:style>
  <w:style w:type="character" w:styleId="EndnoteReference">
    <w:name w:val="endnote reference"/>
    <w:semiHidden/>
    <w:rsid w:val="00AE477D"/>
    <w:rPr>
      <w:vertAlign w:val="superscript"/>
    </w:rPr>
  </w:style>
  <w:style w:type="paragraph" w:styleId="FootnoteText">
    <w:name w:val="footnote text"/>
    <w:rsid w:val="00AE477D"/>
    <w:pPr>
      <w:spacing w:after="120"/>
    </w:pPr>
    <w:rPr>
      <w:lang w:val="en-US" w:eastAsia="en-US" w:bidi="ar-SA"/>
    </w:rPr>
  </w:style>
  <w:style w:type="character" w:styleId="FootnoteReference">
    <w:name w:val="footnote reference"/>
    <w:rsid w:val="00AE477D"/>
    <w:rPr>
      <w:rFonts w:ascii="Times New Roman" w:hAnsi="Times New Roman"/>
      <w:dstrike w:val="0"/>
      <w:color w:val="auto"/>
      <w:sz w:val="20"/>
      <w:vertAlign w:val="superscript"/>
    </w:rPr>
  </w:style>
  <w:style w:type="paragraph" w:styleId="TOC1">
    <w:name w:val="toc 1"/>
    <w:basedOn w:val="Normal"/>
    <w:next w:val="Normal"/>
    <w:semiHidden/>
    <w:rsid w:val="00AE477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E477D"/>
    <w:pPr>
      <w:tabs>
        <w:tab w:val="left" w:pos="720"/>
        <w:tab w:val="right" w:leader="dot" w:pos="9360"/>
      </w:tabs>
      <w:suppressAutoHyphens/>
      <w:ind w:left="720" w:right="720" w:hanging="360"/>
    </w:pPr>
    <w:rPr>
      <w:noProof/>
    </w:rPr>
  </w:style>
  <w:style w:type="paragraph" w:styleId="TOC3">
    <w:name w:val="toc 3"/>
    <w:basedOn w:val="Normal"/>
    <w:next w:val="Normal"/>
    <w:semiHidden/>
    <w:rsid w:val="00AE477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E477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E477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E477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E477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E477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E47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E477D"/>
    <w:pPr>
      <w:tabs>
        <w:tab w:val="right" w:pos="9360"/>
      </w:tabs>
      <w:suppressAutoHyphens/>
    </w:pPr>
  </w:style>
  <w:style w:type="character" w:customStyle="1" w:styleId="EquationCaption">
    <w:name w:val="_Equation Caption"/>
    <w:rsid w:val="00AE477D"/>
  </w:style>
  <w:style w:type="paragraph" w:styleId="Header">
    <w:name w:val="header"/>
    <w:basedOn w:val="Normal"/>
    <w:autoRedefine/>
    <w:rsid w:val="00AE477D"/>
    <w:pPr>
      <w:tabs>
        <w:tab w:val="center" w:pos="4680"/>
        <w:tab w:val="right" w:pos="9360"/>
      </w:tabs>
    </w:pPr>
    <w:rPr>
      <w:b/>
    </w:rPr>
  </w:style>
  <w:style w:type="paragraph" w:styleId="Footer">
    <w:name w:val="footer"/>
    <w:basedOn w:val="Normal"/>
    <w:link w:val="FooterChar"/>
    <w:uiPriority w:val="99"/>
    <w:rsid w:val="00AE477D"/>
    <w:pPr>
      <w:tabs>
        <w:tab w:val="center" w:pos="4320"/>
        <w:tab w:val="right" w:pos="8640"/>
      </w:tabs>
    </w:pPr>
  </w:style>
  <w:style w:type="character" w:styleId="PageNumber">
    <w:name w:val="page number"/>
    <w:basedOn w:val="DefaultParagraphFont"/>
    <w:rsid w:val="00AE477D"/>
  </w:style>
  <w:style w:type="paragraph" w:styleId="BlockText">
    <w:name w:val="Block Text"/>
    <w:basedOn w:val="Normal"/>
    <w:rsid w:val="00AE477D"/>
    <w:pPr>
      <w:spacing w:after="240"/>
      <w:ind w:left="1440" w:right="1440"/>
    </w:pPr>
  </w:style>
  <w:style w:type="paragraph" w:customStyle="1" w:styleId="Paratitle">
    <w:name w:val="Para title"/>
    <w:basedOn w:val="Normal"/>
    <w:rsid w:val="00AE477D"/>
    <w:pPr>
      <w:tabs>
        <w:tab w:val="center" w:pos="9270"/>
      </w:tabs>
      <w:spacing w:after="240"/>
    </w:pPr>
    <w:rPr>
      <w:spacing w:val="-2"/>
    </w:rPr>
  </w:style>
  <w:style w:type="paragraph" w:customStyle="1" w:styleId="Bullet">
    <w:name w:val="Bullet"/>
    <w:basedOn w:val="Normal"/>
    <w:rsid w:val="00AE477D"/>
    <w:pPr>
      <w:tabs>
        <w:tab w:val="left" w:pos="2160"/>
      </w:tabs>
      <w:spacing w:after="220"/>
      <w:ind w:left="2160" w:hanging="720"/>
    </w:pPr>
  </w:style>
  <w:style w:type="paragraph" w:customStyle="1" w:styleId="TableFormat">
    <w:name w:val="TableFormat"/>
    <w:basedOn w:val="Bullet"/>
    <w:rsid w:val="00AE477D"/>
    <w:pPr>
      <w:numPr>
        <w:numId w:val="0"/>
      </w:numPr>
      <w:tabs>
        <w:tab w:val="clear" w:pos="2160"/>
        <w:tab w:val="left" w:pos="5040"/>
      </w:tabs>
      <w:ind w:left="5040" w:hanging="3600"/>
    </w:pPr>
  </w:style>
  <w:style w:type="paragraph" w:customStyle="1" w:styleId="TOCTitle">
    <w:name w:val="TOC Title"/>
    <w:basedOn w:val="Normal"/>
    <w:rsid w:val="00AE47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477D"/>
    <w:pPr>
      <w:jc w:val="center"/>
    </w:pPr>
    <w:rPr>
      <w:rFonts w:ascii="Times New Roman Bold" w:hAnsi="Times New Roman Bold"/>
      <w:b/>
      <w:bCs/>
      <w:caps/>
      <w:szCs w:val="22"/>
    </w:rPr>
  </w:style>
  <w:style w:type="character" w:styleId="Hyperlink">
    <w:name w:val="Hyperlink"/>
    <w:rsid w:val="00AE477D"/>
    <w:rPr>
      <w:color w:val="0000FF"/>
      <w:u w:val="single"/>
    </w:rPr>
  </w:style>
  <w:style w:type="character" w:customStyle="1" w:styleId="FooterChar">
    <w:name w:val="Footer Char"/>
    <w:link w:val="Footer"/>
    <w:uiPriority w:val="99"/>
    <w:rsid w:val="00AE477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