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2705A7"/>
    <w:tbl>
      <w:tblPr>
        <w:tblW w:w="0" w:type="auto"/>
        <w:tblLook w:val="0000"/>
      </w:tblPr>
      <w:tblGrid>
        <w:gridCol w:w="8640"/>
      </w:tblGrid>
      <w:tr w:rsidTr="008F28AB">
        <w:tblPrEx>
          <w:tblW w:w="0" w:type="auto"/>
          <w:tblLook w:val="0000"/>
        </w:tblPrEx>
        <w:trPr>
          <w:trHeight w:val="8748"/>
        </w:trPr>
        <w:tc>
          <w:tcPr>
            <w:tcW w:w="8640" w:type="dxa"/>
          </w:tcPr>
          <w:p w:rsidR="00FF232D" w:rsidP="006A7D7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418-0253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bookmarkStart w:id="0" w:name="_Hlk523146880"/>
            <w:r>
              <w:rPr>
                <w:b/>
                <w:bCs/>
                <w:sz w:val="26"/>
                <w:szCs w:val="26"/>
              </w:rPr>
              <w:t>CONNECT AMERICA FUND AUCTION TO EXPAND BROADBAND TO</w:t>
            </w:r>
            <w:r>
              <w:rPr>
                <w:b/>
                <w:bCs/>
                <w:sz w:val="26"/>
                <w:szCs w:val="26"/>
              </w:rPr>
              <w:t xml:space="preserve"> OVER 700,000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RURAL HOMES</w:t>
            </w:r>
            <w:r>
              <w:rPr>
                <w:b/>
                <w:bCs/>
                <w:sz w:val="26"/>
                <w:szCs w:val="26"/>
              </w:rPr>
              <w:t xml:space="preserve"> AND</w:t>
            </w:r>
            <w:r>
              <w:rPr>
                <w:b/>
                <w:bCs/>
                <w:sz w:val="26"/>
                <w:szCs w:val="26"/>
              </w:rPr>
              <w:t xml:space="preserve"> BUSINESSES</w:t>
            </w:r>
          </w:p>
          <w:p w:rsidR="00CC5E08" w:rsidRPr="008A3940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bookmarkEnd w:id="0"/>
            <w:r>
              <w:rPr>
                <w:b/>
                <w:bCs/>
                <w:i/>
              </w:rPr>
              <w:t>Auction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Allocates $1.488 Billion To Close the Digital Divide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bookmarkStart w:id="1" w:name="_Hlk522119578"/>
            <w:r w:rsidRPr="008A3940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>August 28</w:t>
            </w:r>
            <w:r w:rsidRPr="00680350">
              <w:rPr>
                <w:sz w:val="22"/>
                <w:szCs w:val="22"/>
              </w:rPr>
              <w:t>,</w:t>
            </w:r>
            <w:r w:rsidRPr="006B046A">
              <w:rPr>
                <w:sz w:val="22"/>
                <w:szCs w:val="22"/>
              </w:rPr>
              <w:t xml:space="preserve"> 2018</w:t>
            </w:r>
            <w:r w:rsidRPr="006B046A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Over 700,00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rural </w:t>
            </w:r>
            <w:r>
              <w:rPr>
                <w:sz w:val="22"/>
                <w:szCs w:val="22"/>
              </w:rPr>
              <w:t xml:space="preserve">homes and small businesses will gain access to high-speed Internet service </w:t>
            </w:r>
            <w:r>
              <w:rPr>
                <w:sz w:val="22"/>
                <w:szCs w:val="22"/>
              </w:rPr>
              <w:t xml:space="preserve">for the first time </w:t>
            </w:r>
            <w:r>
              <w:rPr>
                <w:sz w:val="22"/>
                <w:szCs w:val="22"/>
              </w:rPr>
              <w:t xml:space="preserve">through the </w:t>
            </w:r>
            <w:r>
              <w:rPr>
                <w:sz w:val="22"/>
                <w:szCs w:val="22"/>
              </w:rPr>
              <w:t xml:space="preserve">Federal Communications Commission’s </w:t>
            </w:r>
            <w:r>
              <w:rPr>
                <w:sz w:val="22"/>
                <w:szCs w:val="22"/>
              </w:rPr>
              <w:t>Connec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America Fund Phase II 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uction, </w:t>
            </w:r>
            <w:r>
              <w:rPr>
                <w:sz w:val="22"/>
                <w:szCs w:val="22"/>
              </w:rPr>
              <w:t xml:space="preserve">auction results released today show, </w:t>
            </w:r>
            <w:r>
              <w:rPr>
                <w:sz w:val="22"/>
                <w:szCs w:val="22"/>
              </w:rPr>
              <w:t>and more than half of those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,176 locations</w:t>
            </w:r>
            <w:r>
              <w:rPr>
                <w:sz w:val="22"/>
                <w:szCs w:val="22"/>
              </w:rPr>
              <w:t xml:space="preserve"> will </w:t>
            </w:r>
            <w:r>
              <w:rPr>
                <w:sz w:val="22"/>
                <w:szCs w:val="22"/>
              </w:rPr>
              <w:t xml:space="preserve">have </w:t>
            </w:r>
            <w:r>
              <w:rPr>
                <w:sz w:val="22"/>
                <w:szCs w:val="22"/>
              </w:rPr>
              <w:t xml:space="preserve">service </w:t>
            </w:r>
            <w:r>
              <w:rPr>
                <w:sz w:val="22"/>
                <w:szCs w:val="22"/>
              </w:rPr>
              <w:t xml:space="preserve">available </w:t>
            </w:r>
            <w:r>
              <w:rPr>
                <w:sz w:val="22"/>
                <w:szCs w:val="22"/>
              </w:rPr>
              <w:t>with download speeds of at least 100 megabits per second.</w:t>
            </w:r>
          </w:p>
          <w:p w:rsidR="00112BEA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330EC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auction </w:t>
            </w:r>
            <w:r>
              <w:rPr>
                <w:sz w:val="22"/>
                <w:szCs w:val="22"/>
              </w:rPr>
              <w:t xml:space="preserve">allocated </w:t>
            </w:r>
            <w:r>
              <w:rPr>
                <w:sz w:val="22"/>
                <w:szCs w:val="22"/>
              </w:rPr>
              <w:t>$1.48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billion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support </w:t>
            </w:r>
            <w:r>
              <w:rPr>
                <w:sz w:val="22"/>
                <w:szCs w:val="22"/>
              </w:rPr>
              <w:t xml:space="preserve">to be </w:t>
            </w:r>
            <w:r>
              <w:rPr>
                <w:sz w:val="22"/>
                <w:szCs w:val="22"/>
              </w:rPr>
              <w:t xml:space="preserve">distributed </w:t>
            </w:r>
            <w:r>
              <w:rPr>
                <w:sz w:val="22"/>
                <w:szCs w:val="22"/>
              </w:rPr>
              <w:t>over the next 10 yea</w:t>
            </w:r>
            <w:r>
              <w:rPr>
                <w:sz w:val="22"/>
                <w:szCs w:val="22"/>
              </w:rPr>
              <w:t>rs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expand rural broadband service in unserved areas in </w:t>
            </w:r>
            <w:r>
              <w:rPr>
                <w:sz w:val="22"/>
                <w:szCs w:val="22"/>
              </w:rPr>
              <w:t xml:space="preserve">45 </w:t>
            </w:r>
            <w:r>
              <w:rPr>
                <w:sz w:val="22"/>
                <w:szCs w:val="22"/>
              </w:rPr>
              <w:t xml:space="preserve">states.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total of </w:t>
            </w:r>
            <w:r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providers won s</w:t>
            </w:r>
            <w:r>
              <w:rPr>
                <w:sz w:val="22"/>
                <w:szCs w:val="22"/>
              </w:rPr>
              <w:t xml:space="preserve">upport </w:t>
            </w:r>
            <w:r>
              <w:rPr>
                <w:sz w:val="22"/>
                <w:szCs w:val="22"/>
              </w:rPr>
              <w:t xml:space="preserve">from the Connect America Fund </w:t>
            </w:r>
            <w:r>
              <w:rPr>
                <w:sz w:val="22"/>
                <w:szCs w:val="22"/>
              </w:rPr>
              <w:t xml:space="preserve">to expand broadband in rural areas where, </w:t>
            </w:r>
            <w:r>
              <w:rPr>
                <w:sz w:val="22"/>
                <w:szCs w:val="22"/>
              </w:rPr>
              <w:t xml:space="preserve">absent this </w:t>
            </w:r>
            <w:r>
              <w:rPr>
                <w:sz w:val="22"/>
                <w:szCs w:val="22"/>
              </w:rPr>
              <w:t>funding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this type of </w:t>
            </w:r>
            <w:r>
              <w:rPr>
                <w:sz w:val="22"/>
                <w:szCs w:val="22"/>
              </w:rPr>
              <w:t xml:space="preserve">broadband </w:t>
            </w:r>
            <w:r>
              <w:rPr>
                <w:sz w:val="22"/>
                <w:szCs w:val="22"/>
              </w:rPr>
              <w:t xml:space="preserve">expansion </w:t>
            </w:r>
            <w:r>
              <w:rPr>
                <w:sz w:val="22"/>
                <w:szCs w:val="22"/>
              </w:rPr>
              <w:t xml:space="preserve">and ongoing service </w:t>
            </w:r>
            <w:r>
              <w:rPr>
                <w:sz w:val="22"/>
                <w:szCs w:val="22"/>
              </w:rPr>
              <w:t xml:space="preserve">would </w:t>
            </w:r>
            <w:r>
              <w:rPr>
                <w:sz w:val="22"/>
                <w:szCs w:val="22"/>
              </w:rPr>
              <w:t xml:space="preserve">not </w:t>
            </w:r>
            <w:r>
              <w:rPr>
                <w:sz w:val="22"/>
                <w:szCs w:val="22"/>
              </w:rPr>
              <w:t xml:space="preserve">be </w:t>
            </w:r>
            <w:r>
              <w:rPr>
                <w:sz w:val="22"/>
                <w:szCs w:val="22"/>
              </w:rPr>
              <w:t xml:space="preserve">economically </w:t>
            </w:r>
            <w:r>
              <w:rPr>
                <w:sz w:val="22"/>
                <w:szCs w:val="22"/>
              </w:rPr>
              <w:t>feasible</w:t>
            </w:r>
            <w:r>
              <w:rPr>
                <w:sz w:val="22"/>
                <w:szCs w:val="22"/>
              </w:rPr>
              <w:t>.</w:t>
            </w:r>
            <w:bookmarkEnd w:id="1"/>
          </w:p>
          <w:p w:rsidR="009B7C83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934F1" w:rsidP="00676F0B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 successful conclusion of this first-of-its kind auction is great news for the residents of these rural communities</w:t>
            </w:r>
            <w:r>
              <w:rPr>
                <w:sz w:val="22"/>
                <w:szCs w:val="22"/>
              </w:rPr>
              <w:t>, wh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will </w:t>
            </w:r>
            <w:r>
              <w:rPr>
                <w:sz w:val="22"/>
                <w:szCs w:val="22"/>
              </w:rPr>
              <w:t xml:space="preserve">finally </w:t>
            </w:r>
            <w:r>
              <w:rPr>
                <w:sz w:val="22"/>
                <w:szCs w:val="22"/>
              </w:rPr>
              <w:t>be able to share in the 21</w:t>
            </w:r>
            <w:r w:rsidRPr="00A948B4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entury digital </w:t>
            </w:r>
            <w:r w:rsidRPr="00C72A38">
              <w:rPr>
                <w:sz w:val="22"/>
                <w:szCs w:val="22"/>
              </w:rPr>
              <w:t>opportunities that broadband provide</w:t>
            </w:r>
            <w:r w:rsidRPr="00C72A38">
              <w:rPr>
                <w:sz w:val="22"/>
                <w:szCs w:val="22"/>
              </w:rPr>
              <w:t>s</w:t>
            </w:r>
            <w:r w:rsidRPr="00C72A38">
              <w:rPr>
                <w:sz w:val="22"/>
                <w:szCs w:val="22"/>
              </w:rPr>
              <w:t>,</w:t>
            </w:r>
            <w:r w:rsidRPr="00C72A38">
              <w:rPr>
                <w:sz w:val="22"/>
                <w:szCs w:val="22"/>
              </w:rPr>
              <w:t xml:space="preserve">” </w:t>
            </w:r>
            <w:r w:rsidRPr="00C72A38">
              <w:rPr>
                <w:sz w:val="22"/>
                <w:szCs w:val="22"/>
              </w:rPr>
              <w:t xml:space="preserve">said FCC Chairman Ajit Pai.  </w:t>
            </w:r>
            <w:r w:rsidRPr="00C72A38">
              <w:rPr>
                <w:sz w:val="22"/>
                <w:szCs w:val="22"/>
              </w:rPr>
              <w:t xml:space="preserve">“By tapping the </w:t>
            </w:r>
            <w:r>
              <w:rPr>
                <w:sz w:val="22"/>
                <w:szCs w:val="22"/>
              </w:rPr>
              <w:t xml:space="preserve">mechanisms of the marketplace, </w:t>
            </w:r>
            <w:r w:rsidRPr="00C72A38">
              <w:rPr>
                <w:sz w:val="22"/>
                <w:szCs w:val="22"/>
              </w:rPr>
              <w:t>t</w:t>
            </w:r>
            <w:r w:rsidRPr="00C72A38">
              <w:rPr>
                <w:sz w:val="22"/>
                <w:szCs w:val="22"/>
              </w:rPr>
              <w:t>he</w:t>
            </w:r>
            <w:r w:rsidRPr="00C72A38">
              <w:rPr>
                <w:sz w:val="22"/>
                <w:szCs w:val="22"/>
              </w:rPr>
              <w:t xml:space="preserve"> Phase II auction </w:t>
            </w:r>
            <w:r>
              <w:rPr>
                <w:sz w:val="22"/>
                <w:szCs w:val="22"/>
              </w:rPr>
              <w:t>served as</w:t>
            </w:r>
            <w:r w:rsidRPr="00C72A38">
              <w:rPr>
                <w:sz w:val="22"/>
                <w:szCs w:val="22"/>
              </w:rPr>
              <w:t xml:space="preserve"> </w:t>
            </w:r>
            <w:r w:rsidRPr="00C72A38">
              <w:rPr>
                <w:sz w:val="22"/>
                <w:szCs w:val="22"/>
              </w:rPr>
              <w:t xml:space="preserve">the most appropriate and cost-effective way </w:t>
            </w:r>
            <w:r>
              <w:rPr>
                <w:sz w:val="22"/>
                <w:szCs w:val="22"/>
              </w:rPr>
              <w:t xml:space="preserve">to allocate funding </w:t>
            </w:r>
            <w:r w:rsidRPr="00C72A38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broadband in these unserved</w:t>
            </w:r>
            <w:r w:rsidRPr="00C72A38">
              <w:rPr>
                <w:sz w:val="22"/>
                <w:szCs w:val="22"/>
              </w:rPr>
              <w:t xml:space="preserve"> </w:t>
            </w:r>
            <w:r w:rsidRPr="00C72A38">
              <w:rPr>
                <w:sz w:val="22"/>
                <w:szCs w:val="22"/>
              </w:rPr>
              <w:t>communit</w:t>
            </w:r>
            <w:r>
              <w:rPr>
                <w:sz w:val="22"/>
                <w:szCs w:val="22"/>
              </w:rPr>
              <w:t>ies</w:t>
            </w:r>
            <w:r w:rsidRPr="00C72A3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C72A38">
              <w:rPr>
                <w:sz w:val="22"/>
                <w:szCs w:val="22"/>
              </w:rPr>
              <w:t>bringing the</w:t>
            </w:r>
            <w:r w:rsidRPr="00C72A38">
              <w:rPr>
                <w:sz w:val="22"/>
                <w:szCs w:val="22"/>
              </w:rPr>
              <w:t xml:space="preserve"> </w:t>
            </w:r>
            <w:r w:rsidRPr="00C72A38">
              <w:rPr>
                <w:sz w:val="22"/>
                <w:szCs w:val="22"/>
              </w:rPr>
              <w:t xml:space="preserve">highest-quality broadband services </w:t>
            </w:r>
            <w:r>
              <w:rPr>
                <w:sz w:val="22"/>
                <w:szCs w:val="22"/>
              </w:rPr>
              <w:t xml:space="preserve">to the most consumers </w:t>
            </w:r>
            <w:r w:rsidRPr="00C72A38">
              <w:rPr>
                <w:sz w:val="22"/>
                <w:szCs w:val="22"/>
              </w:rPr>
              <w:t>at the</w:t>
            </w:r>
            <w:r>
              <w:rPr>
                <w:sz w:val="22"/>
                <w:szCs w:val="22"/>
              </w:rPr>
              <w:t xml:space="preserve"> lowest cost to the rate</w:t>
            </w:r>
            <w:r w:rsidRPr="00C72A38">
              <w:rPr>
                <w:sz w:val="22"/>
                <w:szCs w:val="22"/>
              </w:rPr>
              <w:t>payer.”</w:t>
            </w:r>
          </w:p>
          <w:p w:rsidR="003E134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82A73" w:rsidP="006C2D5C">
            <w:pPr>
              <w:rPr>
                <w:sz w:val="22"/>
                <w:szCs w:val="22"/>
              </w:rPr>
            </w:pPr>
            <w:bookmarkStart w:id="2" w:name="_Hlk522621264"/>
            <w:r w:rsidRPr="006C2D5C">
              <w:rPr>
                <w:sz w:val="22"/>
                <w:szCs w:val="22"/>
              </w:rPr>
              <w:t xml:space="preserve">The auction </w:t>
            </w:r>
            <w:r>
              <w:rPr>
                <w:sz w:val="22"/>
                <w:szCs w:val="22"/>
              </w:rPr>
              <w:t xml:space="preserve">encouraged innovation and deployment of robust service by </w:t>
            </w:r>
            <w:r>
              <w:rPr>
                <w:sz w:val="22"/>
                <w:szCs w:val="22"/>
              </w:rPr>
              <w:t xml:space="preserve">giving </w:t>
            </w:r>
            <w:r>
              <w:rPr>
                <w:sz w:val="22"/>
                <w:szCs w:val="22"/>
              </w:rPr>
              <w:t xml:space="preserve">providers </w:t>
            </w:r>
            <w:r>
              <w:rPr>
                <w:sz w:val="22"/>
                <w:szCs w:val="22"/>
              </w:rPr>
              <w:t xml:space="preserve">the flexibility </w:t>
            </w:r>
            <w:r>
              <w:rPr>
                <w:sz w:val="22"/>
                <w:szCs w:val="22"/>
              </w:rPr>
              <w:t>to use a</w:t>
            </w:r>
            <w:r w:rsidRPr="006C2D5C">
              <w:rPr>
                <w:sz w:val="22"/>
                <w:szCs w:val="22"/>
              </w:rPr>
              <w:t xml:space="preserve">ny </w:t>
            </w:r>
            <w:r>
              <w:rPr>
                <w:sz w:val="22"/>
                <w:szCs w:val="22"/>
              </w:rPr>
              <w:t>broadband</w:t>
            </w:r>
            <w:r w:rsidRPr="006C2D5C">
              <w:rPr>
                <w:sz w:val="22"/>
                <w:szCs w:val="22"/>
              </w:rPr>
              <w:t xml:space="preserve"> </w:t>
            </w:r>
            <w:r w:rsidRPr="006C2D5C">
              <w:rPr>
                <w:sz w:val="22"/>
                <w:szCs w:val="22"/>
              </w:rPr>
              <w:t xml:space="preserve">technology </w:t>
            </w:r>
            <w:r>
              <w:rPr>
                <w:sz w:val="22"/>
                <w:szCs w:val="22"/>
              </w:rPr>
              <w:t>to</w:t>
            </w:r>
            <w:r w:rsidRPr="006C2D5C">
              <w:rPr>
                <w:sz w:val="22"/>
                <w:szCs w:val="22"/>
              </w:rPr>
              <w:t xml:space="preserve"> meet the FCC</w:t>
            </w:r>
            <w:r>
              <w:rPr>
                <w:sz w:val="22"/>
                <w:szCs w:val="22"/>
              </w:rPr>
              <w:t>’s buildou</w:t>
            </w:r>
            <w:r>
              <w:rPr>
                <w:sz w:val="22"/>
                <w:szCs w:val="22"/>
              </w:rPr>
              <w:t>t and</w:t>
            </w:r>
            <w:r w:rsidRPr="006C2D5C">
              <w:rPr>
                <w:sz w:val="22"/>
                <w:szCs w:val="22"/>
              </w:rPr>
              <w:t xml:space="preserve"> performance standards</w:t>
            </w:r>
            <w:r>
              <w:rPr>
                <w:sz w:val="22"/>
                <w:szCs w:val="22"/>
              </w:rPr>
              <w:t xml:space="preserve"> for fixed service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The auction design </w:t>
            </w:r>
            <w:r>
              <w:rPr>
                <w:sz w:val="22"/>
                <w:szCs w:val="22"/>
              </w:rPr>
              <w:t>included a weight</w:t>
            </w:r>
            <w:r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preference </w:t>
            </w:r>
            <w:r>
              <w:rPr>
                <w:sz w:val="22"/>
                <w:szCs w:val="22"/>
              </w:rPr>
              <w:t xml:space="preserve">for </w:t>
            </w:r>
            <w:r w:rsidRPr="006C2D5C">
              <w:rPr>
                <w:sz w:val="22"/>
                <w:szCs w:val="22"/>
              </w:rPr>
              <w:t>service</w:t>
            </w:r>
            <w:r w:rsidRPr="006C2D5C">
              <w:rPr>
                <w:sz w:val="22"/>
                <w:szCs w:val="22"/>
              </w:rPr>
              <w:t xml:space="preserve"> with higher speeds, higher usage allowances, and lower latency.</w:t>
            </w:r>
          </w:p>
          <w:p w:rsidR="00482A73" w:rsidP="006C2D5C">
            <w:pPr>
              <w:rPr>
                <w:sz w:val="22"/>
                <w:szCs w:val="22"/>
              </w:rPr>
            </w:pPr>
          </w:p>
          <w:p w:rsidR="00CA0FC8" w:rsidP="006C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 result, 53</w:t>
            </w:r>
            <w:r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of all homes and businesses served </w:t>
            </w:r>
            <w:r>
              <w:rPr>
                <w:sz w:val="22"/>
                <w:szCs w:val="22"/>
              </w:rPr>
              <w:t xml:space="preserve">with support from the auction </w:t>
            </w:r>
            <w:r>
              <w:rPr>
                <w:sz w:val="22"/>
                <w:szCs w:val="22"/>
              </w:rPr>
              <w:t xml:space="preserve">will </w:t>
            </w:r>
            <w:r>
              <w:rPr>
                <w:sz w:val="22"/>
                <w:szCs w:val="22"/>
              </w:rPr>
              <w:t xml:space="preserve">have </w:t>
            </w:r>
            <w:r>
              <w:rPr>
                <w:sz w:val="22"/>
                <w:szCs w:val="22"/>
              </w:rPr>
              <w:t xml:space="preserve">broadband </w:t>
            </w:r>
            <w:r>
              <w:rPr>
                <w:sz w:val="22"/>
                <w:szCs w:val="22"/>
              </w:rPr>
              <w:t>available w</w:t>
            </w:r>
            <w:r>
              <w:rPr>
                <w:sz w:val="22"/>
                <w:szCs w:val="22"/>
              </w:rPr>
              <w:t xml:space="preserve">ith download speeds of at least 100 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egabits per second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19</w:t>
            </w:r>
            <w:r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will </w:t>
            </w:r>
            <w:r>
              <w:rPr>
                <w:sz w:val="22"/>
                <w:szCs w:val="22"/>
              </w:rPr>
              <w:t xml:space="preserve">have 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igabit service</w:t>
            </w:r>
            <w:r>
              <w:rPr>
                <w:sz w:val="22"/>
                <w:szCs w:val="22"/>
              </w:rPr>
              <w:t xml:space="preserve"> available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And 711,389 locations—all but 0.25%—will </w:t>
            </w:r>
            <w:r>
              <w:rPr>
                <w:sz w:val="22"/>
                <w:szCs w:val="22"/>
              </w:rPr>
              <w:t xml:space="preserve">have </w:t>
            </w:r>
            <w:r>
              <w:rPr>
                <w:sz w:val="22"/>
                <w:szCs w:val="22"/>
              </w:rPr>
              <w:t>at least 25 Mbps service</w:t>
            </w:r>
            <w:r>
              <w:rPr>
                <w:sz w:val="22"/>
                <w:szCs w:val="22"/>
              </w:rPr>
              <w:t xml:space="preserve"> available</w:t>
            </w:r>
            <w:r>
              <w:rPr>
                <w:sz w:val="22"/>
                <w:szCs w:val="22"/>
              </w:rPr>
              <w:t>, more than twi</w:t>
            </w:r>
            <w:r>
              <w:rPr>
                <w:sz w:val="22"/>
                <w:szCs w:val="22"/>
              </w:rPr>
              <w:t>ce the 10 Mbps minimum standard</w:t>
            </w:r>
            <w:r>
              <w:rPr>
                <w:sz w:val="22"/>
                <w:szCs w:val="22"/>
              </w:rPr>
              <w:t xml:space="preserve"> for the Connect America Fund program</w:t>
            </w:r>
            <w:r>
              <w:rPr>
                <w:sz w:val="22"/>
                <w:szCs w:val="22"/>
              </w:rPr>
              <w:t>.</w:t>
            </w:r>
          </w:p>
          <w:p w:rsidR="00097D93" w:rsidP="006C2D5C">
            <w:pPr>
              <w:rPr>
                <w:sz w:val="22"/>
                <w:szCs w:val="22"/>
              </w:rPr>
            </w:pPr>
          </w:p>
          <w:p w:rsidR="001861C4" w:rsidP="00186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861C4">
              <w:rPr>
                <w:sz w:val="22"/>
                <w:szCs w:val="22"/>
              </w:rPr>
              <w:t xml:space="preserve">he auction </w:t>
            </w:r>
            <w:r>
              <w:rPr>
                <w:sz w:val="22"/>
                <w:szCs w:val="22"/>
              </w:rPr>
              <w:t xml:space="preserve">also </w:t>
            </w:r>
            <w:r w:rsidRPr="001861C4">
              <w:rPr>
                <w:sz w:val="22"/>
                <w:szCs w:val="22"/>
              </w:rPr>
              <w:t xml:space="preserve">unleashed </w:t>
            </w:r>
            <w:r>
              <w:rPr>
                <w:sz w:val="22"/>
                <w:szCs w:val="22"/>
              </w:rPr>
              <w:t xml:space="preserve">robust </w:t>
            </w:r>
            <w:r w:rsidRPr="001861C4">
              <w:rPr>
                <w:sz w:val="22"/>
                <w:szCs w:val="22"/>
              </w:rPr>
              <w:t xml:space="preserve">price competition that </w:t>
            </w:r>
            <w:r>
              <w:rPr>
                <w:sz w:val="22"/>
                <w:szCs w:val="22"/>
              </w:rPr>
              <w:t xml:space="preserve">means more locations will </w:t>
            </w:r>
            <w:r>
              <w:rPr>
                <w:sz w:val="22"/>
                <w:szCs w:val="22"/>
              </w:rPr>
              <w:t xml:space="preserve">be </w:t>
            </w:r>
            <w:r>
              <w:rPr>
                <w:sz w:val="22"/>
                <w:szCs w:val="22"/>
              </w:rPr>
              <w:t xml:space="preserve">served at less cost to Americans who pay into the </w:t>
            </w:r>
            <w:r>
              <w:rPr>
                <w:sz w:val="22"/>
                <w:szCs w:val="22"/>
              </w:rPr>
              <w:t>Fund.</w:t>
            </w:r>
            <w:r w:rsidRPr="001861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Although the 713,176 locations assigned ha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an initial reserve price of $5 billion over the next decade, the final price tag </w:t>
            </w:r>
            <w:r>
              <w:rPr>
                <w:sz w:val="22"/>
                <w:szCs w:val="22"/>
              </w:rPr>
              <w:t xml:space="preserve">to cover these locations is now </w:t>
            </w:r>
            <w:r>
              <w:rPr>
                <w:sz w:val="22"/>
                <w:szCs w:val="22"/>
              </w:rPr>
              <w:t xml:space="preserve">only </w:t>
            </w:r>
            <w:r w:rsidRPr="001861C4">
              <w:rPr>
                <w:sz w:val="22"/>
                <w:szCs w:val="22"/>
              </w:rPr>
              <w:t xml:space="preserve">$1.488 billion. </w:t>
            </w:r>
          </w:p>
          <w:p w:rsidR="00787FD8" w:rsidP="00783EB6">
            <w:pPr>
              <w:tabs>
                <w:tab w:val="left" w:pos="8640"/>
              </w:tabs>
              <w:rPr>
                <w:sz w:val="22"/>
                <w:szCs w:val="22"/>
              </w:rPr>
            </w:pPr>
            <w:bookmarkEnd w:id="2"/>
          </w:p>
          <w:p w:rsidR="00787FD8" w:rsidP="00787FD8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Providers must build out to 40 percent of the </w:t>
            </w:r>
            <w:r>
              <w:rPr>
                <w:sz w:val="22"/>
                <w:szCs w:val="22"/>
              </w:rPr>
              <w:t xml:space="preserve">assigned </w:t>
            </w:r>
            <w:r>
              <w:rPr>
                <w:sz w:val="22"/>
                <w:szCs w:val="22"/>
              </w:rPr>
              <w:t xml:space="preserve">homes and businesses in a state within three years of becoming </w:t>
            </w:r>
            <w:r>
              <w:rPr>
                <w:sz w:val="22"/>
                <w:szCs w:val="22"/>
              </w:rPr>
              <w:t>authorized to receive support.  Buildout must increase by 20 percent in each subsequent year, until complete buildout is reach at the end of the sixth year.</w:t>
            </w:r>
          </w:p>
          <w:p w:rsidR="00787FD8" w:rsidP="00783EB6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72A38" w:rsidP="00C72A38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Connect America Fund Phase </w:t>
            </w:r>
            <w:r>
              <w:rPr>
                <w:sz w:val="22"/>
                <w:szCs w:val="22"/>
              </w:rPr>
              <w:t>II auction</w:t>
            </w:r>
            <w:r>
              <w:rPr>
                <w:sz w:val="22"/>
                <w:szCs w:val="22"/>
              </w:rPr>
              <w:t xml:space="preserve"> is part of a broader effort by the FCC to close the digi</w:t>
            </w:r>
            <w:r>
              <w:rPr>
                <w:sz w:val="22"/>
                <w:szCs w:val="22"/>
              </w:rPr>
              <w:t>tal divide in rural America.  In addition to the funding that will provided by th</w:t>
            </w:r>
            <w:r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auction, </w:t>
            </w:r>
            <w:r>
              <w:rPr>
                <w:sz w:val="22"/>
                <w:szCs w:val="22"/>
              </w:rPr>
              <w:t>the Commission is working toward the launch of a $4.53 billion Mobility Fund Phase II auction to expand 4G LTE wireless coverage</w:t>
            </w:r>
            <w:r>
              <w:rPr>
                <w:sz w:val="22"/>
                <w:szCs w:val="22"/>
              </w:rPr>
              <w:t xml:space="preserve"> throughout rural America</w:t>
            </w:r>
            <w:r>
              <w:rPr>
                <w:sz w:val="22"/>
                <w:szCs w:val="22"/>
              </w:rPr>
              <w:t xml:space="preserve">.  And </w:t>
            </w:r>
            <w:r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Connect America Fund is </w:t>
            </w:r>
            <w:r>
              <w:rPr>
                <w:sz w:val="22"/>
                <w:szCs w:val="22"/>
              </w:rPr>
              <w:t>in the midst of</w:t>
            </w:r>
            <w:r>
              <w:rPr>
                <w:sz w:val="22"/>
                <w:szCs w:val="22"/>
              </w:rPr>
              <w:t xml:space="preserve"> providing over </w:t>
            </w: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9 billion over a six-year period for rural broadband in areas served by large carriers</w:t>
            </w:r>
            <w:r>
              <w:rPr>
                <w:sz w:val="22"/>
                <w:szCs w:val="22"/>
              </w:rPr>
              <w:t xml:space="preserve">.  </w:t>
            </w:r>
          </w:p>
          <w:p w:rsidR="00C72A3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C031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addition to modernizing its support programs</w:t>
            </w:r>
            <w:r>
              <w:rPr>
                <w:sz w:val="22"/>
                <w:szCs w:val="22"/>
              </w:rPr>
              <w:t>, the</w:t>
            </w:r>
            <w:r>
              <w:rPr>
                <w:sz w:val="22"/>
                <w:szCs w:val="22"/>
              </w:rPr>
              <w:t xml:space="preserve"> FCC </w:t>
            </w:r>
            <w:r>
              <w:rPr>
                <w:sz w:val="22"/>
                <w:szCs w:val="22"/>
              </w:rPr>
              <w:t xml:space="preserve">is also </w:t>
            </w:r>
            <w:r>
              <w:rPr>
                <w:sz w:val="22"/>
                <w:szCs w:val="22"/>
              </w:rPr>
              <w:t xml:space="preserve">working to reduce the cost of broadband deployment by eliminating </w:t>
            </w:r>
            <w:r>
              <w:rPr>
                <w:sz w:val="22"/>
                <w:szCs w:val="22"/>
              </w:rPr>
              <w:t>needless regulatory barriers</w:t>
            </w:r>
            <w:r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by </w:t>
            </w:r>
            <w:r>
              <w:rPr>
                <w:sz w:val="22"/>
                <w:szCs w:val="22"/>
              </w:rPr>
              <w:t>free</w:t>
            </w:r>
            <w:r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up more spectrum for wireless broadband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3C031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62774" w:rsidP="00B101B7">
            <w:pPr>
              <w:rPr>
                <w:rStyle w:val="Hyperlink"/>
              </w:rPr>
            </w:pPr>
            <w:r>
              <w:rPr>
                <w:sz w:val="22"/>
                <w:szCs w:val="22"/>
              </w:rPr>
              <w:t xml:space="preserve">On the following pages </w:t>
            </w:r>
            <w:r>
              <w:rPr>
                <w:sz w:val="22"/>
                <w:szCs w:val="22"/>
              </w:rPr>
              <w:t>are the results of the Connect America Fund Phase II auction</w:t>
            </w:r>
            <w:r>
              <w:rPr>
                <w:sz w:val="22"/>
                <w:szCs w:val="22"/>
              </w:rPr>
              <w:t xml:space="preserve"> by state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A separate chart below lists winning bidders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More information is available </w:t>
            </w:r>
            <w:r>
              <w:rPr>
                <w:sz w:val="22"/>
                <w:szCs w:val="22"/>
              </w:rPr>
              <w:t xml:space="preserve">at </w:t>
            </w:r>
            <w:r>
              <w:fldChar w:fldCharType="begin"/>
            </w:r>
            <w:r>
              <w:instrText xml:space="preserve"> HYPERLINK "https://www.fcc.gov/auction/903" </w:instrText>
            </w:r>
            <w:r>
              <w:fldChar w:fldCharType="separate"/>
            </w:r>
            <w:r w:rsidRPr="00743E70">
              <w:rPr>
                <w:rStyle w:val="Hyperlink"/>
                <w:sz w:val="22"/>
                <w:szCs w:val="22"/>
              </w:rPr>
              <w:t>https://www.fcc.gov/auction/903</w:t>
            </w:r>
            <w:r>
              <w:fldChar w:fldCharType="end"/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A map of winning bids is available at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"https://www.fcc.gov/reports-research/maps/caf2-auction903-results/" </w:instrText>
            </w:r>
            <w:r>
              <w:fldChar w:fldCharType="separate"/>
            </w:r>
            <w:r w:rsidRPr="004F7E2A">
              <w:rPr>
                <w:rStyle w:val="Hyperlink"/>
              </w:rPr>
              <w:t>https://www.fcc.gov/reports-research/maps/caf2-auct</w:t>
            </w:r>
            <w:r w:rsidRPr="004F7E2A">
              <w:rPr>
                <w:rStyle w:val="Hyperlink"/>
              </w:rPr>
              <w:t>i</w:t>
            </w:r>
            <w:r w:rsidRPr="004F7E2A">
              <w:rPr>
                <w:rStyle w:val="Hyperlink"/>
              </w:rPr>
              <w:t>on903-results/</w:t>
            </w:r>
            <w:r>
              <w:fldChar w:fldCharType="end"/>
            </w:r>
          </w:p>
          <w:p w:rsidR="00462774" w:rsidP="00B101B7">
            <w:pPr>
              <w:rPr>
                <w:rStyle w:val="Hyperlink"/>
              </w:rPr>
            </w:pPr>
          </w:p>
          <w:p w:rsidR="00D934E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F28A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E0E90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4F3A71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E15836" w:rsidP="00850E26">
            <w:pPr>
              <w:ind w:right="72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TOTAL 10-YEAR SUPPORT BY STATE</w:t>
            </w:r>
          </w:p>
          <w:p w:rsidR="00E15836" w:rsidP="00850E26">
            <w:pPr>
              <w:ind w:right="7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tbl>
            <w:tblPr>
              <w:tblW w:w="4920" w:type="dxa"/>
              <w:jc w:val="center"/>
              <w:tblLook w:val="04A0"/>
            </w:tblPr>
            <w:tblGrid>
              <w:gridCol w:w="718"/>
              <w:gridCol w:w="1900"/>
              <w:gridCol w:w="1060"/>
              <w:gridCol w:w="1260"/>
            </w:tblGrid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799"/>
                <w:jc w:val="center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5836" w:rsidP="00E158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3" w:name="RANGE!A1:D51"/>
                  <w:bookmarkStart w:id="4" w:name="RANGE!A1:D52"/>
                  <w:bookmarkEnd w:id="3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State</w:t>
                  </w:r>
                  <w:bookmarkEnd w:id="4"/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5836" w:rsidP="00E158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Total Assigned Support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5836" w:rsidP="00E158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Winning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Bidders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5836" w:rsidP="00E158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Locations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Assigned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$5,384,813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9,354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AR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$51,988,094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16,048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AZ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$28,400,478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7,285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$149,026,913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51,682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$17,405,627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11,001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CT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DC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$1,336,400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1,343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FL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$5,032,841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9,859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GA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$6,264,362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13,815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HI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$18,160,638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3,936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$54,287,717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16,759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ID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$14,320,176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10,921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$99,729,909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32,124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IN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$29,117,494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24,530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$46,798,657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13,817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KY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$3,120,985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4,609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$4,649,962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5,221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$13,388,288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6,644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MD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$10,219,148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7,418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$4,713,986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4,098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$33,892,020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21,451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MN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$38,863,791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11,979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MO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$254,773,118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95,130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MP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$5,484,606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13,899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MT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$9,193,477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6,598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NC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$679,130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368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ND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$7,226,602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1,603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$41,117,139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8,900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NH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NJ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$1,621,782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510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$26,232,783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12,452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NV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$29,322,147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14,235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OH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$13,186,434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6,420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OK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$113,599,114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70,727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OR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$13,730,297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10,479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$56,831,061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54,812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RI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$475,303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165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SC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$233,490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SD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$5,086,429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927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TN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$8,457,337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3,290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TX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$82,420,436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35,933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UT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$6,330,099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3,817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$108,923,613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39,896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VT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$19,943,507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16,644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$4,709,505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7,789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WV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$11,997,199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7,962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WY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$30,652,957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16,646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$1,488,329,864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713,176</w:t>
                  </w:r>
                </w:p>
              </w:tc>
            </w:tr>
            <w:tr w:rsidTr="00E15836">
              <w:tblPrEx>
                <w:tblW w:w="49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5836" w:rsidP="00E1583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5836" w:rsidRPr="00AE1F33" w:rsidP="00AE1F33">
            <w:pPr>
              <w:ind w:right="72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AE1F33">
              <w:rPr>
                <w:i/>
                <w:sz w:val="20"/>
                <w:szCs w:val="20"/>
              </w:rPr>
              <w:t>Note: Alaska, New York, Puerto Rico, and the U.S. Virgin Islands are not included in the auction.</w:t>
            </w:r>
          </w:p>
          <w:p w:rsidR="00E15836" w:rsidP="00850E26">
            <w:pPr>
              <w:ind w:right="7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D934EF" w:rsidP="00850E26">
            <w:pPr>
              <w:ind w:right="7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E15836" w:rsidP="00850E26">
            <w:pPr>
              <w:ind w:right="7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921F1E" w:rsidRPr="00E15836" w:rsidP="00921F1E">
            <w:pPr>
              <w:ind w:right="7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Tr="002705A7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921F1E" w:rsidP="0008315E">
            <w:pPr>
              <w:jc w:val="center"/>
            </w:pPr>
            <w:r>
              <w:br w:type="page"/>
            </w:r>
          </w:p>
          <w:p w:rsidR="00921F1E" w:rsidP="0008315E">
            <w:pPr>
              <w:jc w:val="center"/>
            </w:pPr>
          </w:p>
          <w:p w:rsidR="00921F1E" w:rsidP="0008315E">
            <w:pPr>
              <w:jc w:val="center"/>
            </w:pPr>
          </w:p>
          <w:p w:rsidR="00921F1E" w:rsidP="0008315E">
            <w:pPr>
              <w:jc w:val="center"/>
            </w:pPr>
          </w:p>
          <w:p w:rsidR="00921F1E" w:rsidP="0008315E">
            <w:pPr>
              <w:jc w:val="center"/>
            </w:pPr>
          </w:p>
          <w:p w:rsidR="00921F1E" w:rsidP="0008315E">
            <w:pPr>
              <w:jc w:val="center"/>
            </w:pPr>
          </w:p>
          <w:p w:rsidR="00921F1E" w:rsidP="0008315E">
            <w:pPr>
              <w:jc w:val="center"/>
            </w:pPr>
          </w:p>
          <w:p w:rsidR="00921F1E" w:rsidP="0008315E">
            <w:pPr>
              <w:jc w:val="center"/>
            </w:pPr>
          </w:p>
          <w:p w:rsidR="00921F1E" w:rsidP="0008315E">
            <w:pPr>
              <w:jc w:val="center"/>
            </w:pPr>
          </w:p>
          <w:p w:rsidR="00921F1E" w:rsidP="0008315E">
            <w:pPr>
              <w:jc w:val="center"/>
            </w:pPr>
          </w:p>
          <w:p w:rsidR="00921F1E" w:rsidP="0008315E">
            <w:pPr>
              <w:jc w:val="center"/>
            </w:pPr>
          </w:p>
          <w:p w:rsidR="00921F1E" w:rsidP="0008315E">
            <w:pPr>
              <w:jc w:val="center"/>
            </w:pPr>
          </w:p>
          <w:p w:rsidR="00921F1E" w:rsidP="0008315E">
            <w:pPr>
              <w:jc w:val="center"/>
            </w:pPr>
          </w:p>
          <w:p w:rsidR="00921F1E" w:rsidP="0008315E">
            <w:pPr>
              <w:jc w:val="center"/>
            </w:pPr>
          </w:p>
          <w:p w:rsidR="00921F1E" w:rsidP="0008315E">
            <w:pPr>
              <w:jc w:val="center"/>
            </w:pPr>
          </w:p>
          <w:p w:rsidR="00921F1E" w:rsidP="0008315E">
            <w:pPr>
              <w:jc w:val="center"/>
            </w:pPr>
          </w:p>
          <w:p w:rsidR="00921F1E" w:rsidP="0008315E">
            <w:pPr>
              <w:jc w:val="center"/>
            </w:pPr>
          </w:p>
          <w:p w:rsidR="00921F1E" w:rsidP="0008315E">
            <w:pPr>
              <w:jc w:val="center"/>
            </w:pPr>
          </w:p>
          <w:p w:rsidR="00921F1E" w:rsidP="0008315E">
            <w:pPr>
              <w:jc w:val="center"/>
            </w:pPr>
          </w:p>
          <w:p w:rsidR="00386CC6" w:rsidP="0008315E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WINNING BIDDERS</w:t>
            </w:r>
          </w:p>
          <w:p w:rsidR="00386CC6" w:rsidP="00386CC6">
            <w:pPr>
              <w:tabs>
                <w:tab w:val="left" w:pos="8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386CC6" w:rsidP="00386CC6">
            <w:pPr>
              <w:tabs>
                <w:tab w:val="left" w:pos="8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  <w:tbl>
            <w:tblPr>
              <w:tblW w:w="9600" w:type="dxa"/>
              <w:tblLook w:val="04A0"/>
            </w:tblPr>
            <w:tblGrid>
              <w:gridCol w:w="4454"/>
              <w:gridCol w:w="1965"/>
              <w:gridCol w:w="1136"/>
              <w:gridCol w:w="859"/>
            </w:tblGrid>
            <w:tr w:rsidTr="00386CC6">
              <w:tblPrEx>
                <w:tblW w:w="9600" w:type="dxa"/>
                <w:tblLook w:val="04A0"/>
              </w:tblPrEx>
              <w:trPr>
                <w:trHeight w:val="585"/>
              </w:trPr>
              <w:tc>
                <w:tcPr>
                  <w:tcW w:w="5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5" w:name="RANGE!A1:D105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Bidder</w:t>
                  </w:r>
                  <w:bookmarkEnd w:id="5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Total Assigned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Support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Locations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States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3E8 Broadband Solutions, LLC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$3,621,847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Air Link Rural Broadband, LLC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$11,371,438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2,321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Allen's T.V. Cable Service,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$1,776,733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AMG Technology Investment Group LLC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$281,283,794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100,661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ArisWave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Consortium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$12,298,811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7,680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Armstrong Telephone Company - Northern Division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$2,642,413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1,949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Barry Electric Cooperative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$6,103,454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2,308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BEK Communications Cooperative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$1,182,155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Ben </w:t>
                  </w:r>
                  <w:r>
                    <w:rPr>
                      <w:color w:val="000000"/>
                      <w:sz w:val="22"/>
                      <w:szCs w:val="22"/>
                    </w:rPr>
                    <w:t>Lomand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Communications, LLC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$333,797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Benton Ridge Telephone </w:t>
                  </w:r>
                  <w:r>
                    <w:rPr>
                      <w:color w:val="000000"/>
                      <w:sz w:val="22"/>
                      <w:szCs w:val="22"/>
                    </w:rPr>
                    <w:t>Company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$52,371,819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23,957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Bloosurf</w:t>
                  </w:r>
                  <w:r>
                    <w:rPr>
                      <w:color w:val="000000"/>
                      <w:sz w:val="22"/>
                      <w:szCs w:val="22"/>
                    </w:rPr>
                    <w:t>, LLC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$5,468,497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5,091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Broadband Corp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$428,117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Bruce Telephone Company,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$177,933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Cal.net,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$50,516,652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20,859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California Internet, L.P.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$87,832,403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11,845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Casey Mutual Telephone Company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$244,923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Chariton Valley Communications Corporation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$4,179,666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Cincinnati Bell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$1,098,830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Citynet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LLC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$6,517,708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ClearSKY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Systems,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$127,414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Commnet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Wireless, LLC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$79,941,691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31,824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Computer 5 Inc. d/b/a </w:t>
                  </w:r>
                  <w:r>
                    <w:rPr>
                      <w:color w:val="000000"/>
                      <w:sz w:val="22"/>
                      <w:szCs w:val="22"/>
                    </w:rPr>
                    <w:t>LocalTel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Communications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$6,847,092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1,910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Consolidated Telephone Company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$934,934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Consortium 903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$5,357,649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13,657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Crocker Communications,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$1,193,077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Crystal Automation Systems,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$27,299,087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17,610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Declaration Networks Group,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Inc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$6,784,141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5,383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Echo Wireless Broadband,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$5,475,911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1,717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Farmers Mutual Telephone Company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$348,992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Federated Telephone Cooperative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$1,431,039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Fidelity Communications Company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$72,827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Fond du Lac Reservation Business </w:t>
                  </w:r>
                  <w:r>
                    <w:rPr>
                      <w:color w:val="000000"/>
                      <w:sz w:val="22"/>
                      <w:szCs w:val="22"/>
                    </w:rPr>
                    <w:t>Committee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$55,011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Frontier Communications Corporation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$51,553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Garden Valley Telephone Company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$880,346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Gila Local Exchange Carrier,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$104,499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Halstad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Telephone Company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$19,635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Hankins Information Technology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$1,911,329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1,083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Hanson Communications,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$205,818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Hardy Telecommunications, Inc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$47,435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Hawaiian Telcom,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$18,160,638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3,936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Hilliary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Communications Consortium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$3,992,041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1,335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HolstonConnect</w:t>
                  </w:r>
                  <w:r>
                    <w:rPr>
                      <w:color w:val="000000"/>
                      <w:sz w:val="22"/>
                      <w:szCs w:val="22"/>
                    </w:rPr>
                    <w:t>, LLC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$535,417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Horry Telephone Cooperative, </w:t>
                  </w:r>
                  <w:r>
                    <w:rPr>
                      <w:color w:val="000000"/>
                      <w:sz w:val="22"/>
                      <w:szCs w:val="22"/>
                    </w:rPr>
                    <w:t>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$233,490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IdeaTek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Telcom, LLC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$6,186,882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2,490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Illinois Electric Cooperative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$2,276,419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Independent Networks,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$288,834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Interstate Telecommunications Cooperative,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$552,330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Inventive Wireless of Nebraska, LLC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$5,240,646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1,692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Jaguar Communication, Inc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$510,588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JCWIFI.com LLC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$486,424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Johnson Telephone Company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$81,273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Lake Region Technology &amp; Communications, LLC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$4,024,501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2,247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LTD Broadband LLC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$1,264,673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1,407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Maquoketa Valley </w:t>
                  </w:r>
                  <w:r>
                    <w:rPr>
                      <w:color w:val="000000"/>
                      <w:sz w:val="22"/>
                      <w:szCs w:val="22"/>
                    </w:rPr>
                    <w:t>Rural Electric Cooperative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$2,262,039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1,107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Mark Twain Communications Company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$3,053,366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Mercury Wireless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$4,610,330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11,092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Meriwether Lewis Connect LLC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$1,183,627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MGW Networks, LLC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$417,807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Midcontinent Communications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$38,902,342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9,371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Mid-States Services, LLC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$1,868,060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Mountain West Technologies Corporation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$2,658,057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Mutual Telephone Company of Sioux Center, Iowa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$627,920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NBVDS Investment, L.L.C.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$2,776,942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 Colorado Cellular,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$3,097,732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Newmax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, LLC dba </w:t>
                  </w:r>
                  <w:r>
                    <w:rPr>
                      <w:color w:val="000000"/>
                      <w:sz w:val="22"/>
                      <w:szCs w:val="22"/>
                    </w:rPr>
                    <w:t>Intermax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Networks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$11,556,872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7,952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Northern Arapaho Tribal Industries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$4,070,664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Orange County REMC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$10,200,496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4,046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Otelco</w:t>
                  </w:r>
                  <w:r>
                    <w:rPr>
                      <w:color w:val="000000"/>
                      <w:sz w:val="22"/>
                      <w:szCs w:val="22"/>
                    </w:rPr>
                    <w:t>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$921,505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Paul Bunyan Rural Telephone Cooperative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$1,313,543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PC </w:t>
                  </w:r>
                  <w:r>
                    <w:rPr>
                      <w:color w:val="000000"/>
                      <w:sz w:val="22"/>
                      <w:szCs w:val="22"/>
                    </w:rPr>
                    <w:t>Telcorp</w:t>
                  </w:r>
                  <w:r>
                    <w:rPr>
                      <w:color w:val="000000"/>
                      <w:sz w:val="22"/>
                      <w:szCs w:val="22"/>
                    </w:rPr>
                    <w:t>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$387,303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Perry-Spencer Rural Telephone Cooperative,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$1,182,426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Pine Cellular Phones,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$4,695,551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1,979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Plains internet, LLC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$6,153,040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4,642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Red Spectrum Communications LLC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$521,715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Redwire</w:t>
                  </w:r>
                  <w:r>
                    <w:rPr>
                      <w:color w:val="000000"/>
                      <w:sz w:val="22"/>
                      <w:szCs w:val="22"/>
                    </w:rPr>
                    <w:t>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$4,766,846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8,041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Roseau Electric Cooperative,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$2,081,770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RTC Communications Corp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$1,326,394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1,203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Rural Electric Cooperative Consortium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$186,022,490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66,322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Shawnee Communications,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$1,714,708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Sunset Digital Communications,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$29,575,007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9,093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SW </w:t>
                  </w:r>
                  <w:r>
                    <w:rPr>
                      <w:color w:val="000000"/>
                      <w:sz w:val="22"/>
                      <w:szCs w:val="22"/>
                    </w:rPr>
                    <w:t>DinehNet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LLC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$2,038,738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SyncWave</w:t>
                  </w:r>
                  <w:r>
                    <w:rPr>
                      <w:color w:val="000000"/>
                      <w:sz w:val="22"/>
                      <w:szCs w:val="22"/>
                    </w:rPr>
                    <w:t>, LLC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$24,844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Tombigbee Communications, LLC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$1,691,879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Total Highspeed LLC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$640,560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386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Townes Wireless,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$190,098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Tri County Rural Electric Cooperative,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$32,326,228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7,015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Tri County Telephone Association,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$7,017,178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3,186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Tri-County Electric Cooperative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$117,784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Twin Valley Communications, Inc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$45,610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Union Telephone Company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$5,437,562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1,468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Valley Communications Association, LLC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$404,754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Velocity.Net Communications,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$230,016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Verizon Communications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$9,476,934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3,361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Viasat</w:t>
                  </w:r>
                  <w:r>
                    <w:rPr>
                      <w:color w:val="000000"/>
                      <w:sz w:val="22"/>
                      <w:szCs w:val="22"/>
                    </w:rPr>
                    <w:t>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$122,499,877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190,595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Wabash Independent Networks, Inc.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$669,462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West Central Telephone Association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$611,934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Westfield Gas &amp; Electric Light Department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$10,325,401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5,163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Wikstrom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Telephone Company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$532,557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Wilkes Telephone Membership Corporation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$32,820,017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13,886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Winnebago Cooperative Telecom Association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$179,957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Wisper ISP, Inc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$220,319,375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80,149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Wood County Telephone Company d/b/a </w:t>
                  </w:r>
                  <w:r>
                    <w:rPr>
                      <w:color w:val="000000"/>
                      <w:sz w:val="22"/>
                      <w:szCs w:val="22"/>
                    </w:rPr>
                    <w:t>Solarus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$81,920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WPS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$324,009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Tr="00386CC6">
              <w:tblPrEx>
                <w:tblW w:w="9600" w:type="dxa"/>
                <w:tblLook w:val="04A0"/>
              </w:tblPrEx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$1,488,329,864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713,176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6CC6" w:rsidP="00386C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86CC6" w:rsidP="00386CC6">
            <w:pPr>
              <w:tabs>
                <w:tab w:val="left" w:pos="8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42834" w:rsidP="00E42834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42834" w:rsidP="00E42834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42834" w:rsidP="00E42834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42834" w:rsidP="00E42834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###</w:t>
            </w:r>
          </w:p>
          <w:p w:rsidR="00E42834" w:rsidP="00E42834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42834" w:rsidP="00E42834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z w:val="18"/>
                <w:szCs w:val="18"/>
              </w:rPr>
              <w:t>ice of Media Relations: (202) 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42834" w:rsidRPr="006B0A70" w:rsidP="00E42834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42834" w:rsidRPr="006B0A70" w:rsidP="00E42834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>
              <w:rPr>
                <w:b/>
                <w:bCs/>
                <w:sz w:val="18"/>
                <w:szCs w:val="18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E42834" w:rsidRPr="006B0A70" w:rsidP="00E42834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E42834" w:rsidRPr="00285C36" w:rsidP="00E42834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E42834" w:rsidRPr="00EE0E90" w:rsidP="00E42834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386CC6" w:rsidRPr="008F28AB" w:rsidP="00E42834">
            <w:pPr>
              <w:tabs>
                <w:tab w:val="left" w:pos="864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</w:t>
            </w:r>
          </w:p>
        </w:tc>
      </w:tr>
    </w:tbl>
    <w:p w:rsidR="00E15836">
      <w:pPr>
        <w:rPr>
          <w:b/>
          <w:bCs/>
          <w:sz w:val="2"/>
          <w:szCs w:val="2"/>
        </w:rPr>
      </w:pPr>
    </w:p>
    <w:p w:rsidR="00E42834" w:rsidP="00386CC6">
      <w:pPr>
        <w:rPr>
          <w:b/>
          <w:bCs/>
          <w:sz w:val="2"/>
          <w:szCs w:val="2"/>
        </w:rPr>
      </w:pPr>
    </w:p>
    <w:p w:rsidR="00E42834" w:rsidRPr="00E42834" w:rsidP="00E42834">
      <w:pPr>
        <w:rPr>
          <w:sz w:val="2"/>
          <w:szCs w:val="2"/>
        </w:rPr>
      </w:pPr>
    </w:p>
    <w:p w:rsidR="00E42834" w:rsidRPr="00E42834" w:rsidP="00E42834">
      <w:pPr>
        <w:rPr>
          <w:sz w:val="2"/>
          <w:szCs w:val="2"/>
        </w:rPr>
      </w:pPr>
    </w:p>
    <w:p w:rsidR="00E42834" w:rsidRPr="00E42834" w:rsidP="00E42834">
      <w:pPr>
        <w:rPr>
          <w:sz w:val="2"/>
          <w:szCs w:val="2"/>
        </w:rPr>
      </w:pPr>
    </w:p>
    <w:p w:rsidR="00E42834" w:rsidRPr="00E42834" w:rsidP="00E42834">
      <w:pPr>
        <w:rPr>
          <w:sz w:val="2"/>
          <w:szCs w:val="2"/>
        </w:rPr>
      </w:pPr>
    </w:p>
    <w:p w:rsidR="00E42834" w:rsidRPr="00E42834" w:rsidP="00E42834">
      <w:pPr>
        <w:rPr>
          <w:sz w:val="2"/>
          <w:szCs w:val="2"/>
        </w:rPr>
      </w:pPr>
    </w:p>
    <w:p w:rsidR="00E42834" w:rsidRPr="00E42834" w:rsidP="00E42834">
      <w:pPr>
        <w:rPr>
          <w:sz w:val="2"/>
          <w:szCs w:val="2"/>
        </w:rPr>
      </w:pPr>
    </w:p>
    <w:p w:rsidR="00E42834" w:rsidRPr="00E42834" w:rsidP="00E42834">
      <w:pPr>
        <w:rPr>
          <w:sz w:val="2"/>
          <w:szCs w:val="2"/>
        </w:rPr>
      </w:pPr>
    </w:p>
    <w:p w:rsidR="00E42834" w:rsidRPr="00E42834" w:rsidP="00E42834">
      <w:pPr>
        <w:rPr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7E295011"/>
    <w:multiLevelType w:val="multilevel"/>
    <w:tmpl w:val="CA0C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F1F"/>
    <w:rPr>
      <w:color w:val="0000FF"/>
      <w:u w:val="single"/>
    </w:rPr>
  </w:style>
  <w:style w:type="character" w:styleId="FollowedHyperlink">
    <w:name w:val="FollowedHyperlink"/>
    <w:uiPriority w:val="99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03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3B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F3E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3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3E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3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3EB4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8D41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414A"/>
  </w:style>
  <w:style w:type="character" w:styleId="FootnoteReference">
    <w:name w:val="footnote reference"/>
    <w:basedOn w:val="DefaultParagraphFont"/>
    <w:semiHidden/>
    <w:unhideWhenUsed/>
    <w:rsid w:val="008D414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855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85501"/>
  </w:style>
  <w:style w:type="character" w:styleId="EndnoteReference">
    <w:name w:val="endnote reference"/>
    <w:basedOn w:val="DefaultParagraphFont"/>
    <w:semiHidden/>
    <w:unhideWhenUsed/>
    <w:rsid w:val="00685501"/>
    <w:rPr>
      <w:vertAlign w:val="superscript"/>
    </w:rPr>
  </w:style>
  <w:style w:type="character" w:customStyle="1" w:styleId="UnresolvedMention">
    <w:name w:val="Unresolved Mention"/>
    <w:basedOn w:val="DefaultParagraphFont"/>
    <w:rsid w:val="004627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