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721A5">
      <w:pPr>
        <w:tabs>
          <w:tab w:val="left" w:pos="-720"/>
        </w:tabs>
        <w:suppressAutoHyphens/>
        <w:jc w:val="center"/>
        <w:rPr>
          <w:rFonts w:ascii="Times New Roman" w:hAnsi="Times New Roman"/>
          <w:spacing w:val="-3"/>
          <w:sz w:val="24"/>
          <w:szCs w:val="24"/>
        </w:rPr>
      </w:pPr>
      <w:bookmarkStart w:id="0" w:name="_GoBack"/>
      <w:bookmarkEnd w:id="0"/>
    </w:p>
    <w:p w:rsidR="00B721A5">
      <w:pPr>
        <w:tabs>
          <w:tab w:val="left" w:pos="-720"/>
        </w:tabs>
        <w:suppressAutoHyphens/>
        <w:jc w:val="center"/>
        <w:rPr>
          <w:rFonts w:ascii="Times New Roman" w:hAnsi="Times New Roman"/>
          <w:spacing w:val="-3"/>
          <w:sz w:val="24"/>
          <w:szCs w:val="24"/>
        </w:rPr>
      </w:pPr>
    </w:p>
    <w:p w:rsidR="00B721A5" w:rsidRPr="00C71464">
      <w:pPr>
        <w:tabs>
          <w:tab w:val="left" w:pos="-720"/>
        </w:tabs>
        <w:suppressAutoHyphens/>
        <w:jc w:val="center"/>
        <w:rPr>
          <w:rFonts w:ascii="Times New Roman" w:hAnsi="Times New Roman"/>
          <w:b/>
          <w:spacing w:val="-3"/>
          <w:sz w:val="22"/>
          <w:szCs w:val="24"/>
        </w:rPr>
      </w:pPr>
      <w:r w:rsidRPr="00C71464">
        <w:rPr>
          <w:rFonts w:ascii="Times New Roman" w:hAnsi="Times New Roman"/>
          <w:b/>
          <w:spacing w:val="-3"/>
          <w:sz w:val="22"/>
          <w:szCs w:val="24"/>
        </w:rPr>
        <w:t>WHAT YOU OWE – CABLE TELEVISION SYSTEMS FOR FY 201</w:t>
      </w:r>
      <w:r w:rsidR="001600B1">
        <w:rPr>
          <w:rFonts w:ascii="Times New Roman" w:hAnsi="Times New Roman"/>
          <w:b/>
          <w:spacing w:val="-3"/>
          <w:sz w:val="22"/>
          <w:szCs w:val="24"/>
        </w:rPr>
        <w:t>8</w:t>
      </w:r>
    </w:p>
    <w:p w:rsidR="00B721A5" w:rsidRPr="00C71464">
      <w:pPr>
        <w:widowControl/>
        <w:autoSpaceDE w:val="0"/>
        <w:autoSpaceDN w:val="0"/>
        <w:adjustRightInd w:val="0"/>
        <w:jc w:val="center"/>
        <w:rPr>
          <w:rFonts w:ascii="Times New Roman" w:hAnsi="Times New Roman"/>
          <w:b/>
          <w:spacing w:val="-3"/>
          <w:sz w:val="22"/>
        </w:rPr>
      </w:pPr>
    </w:p>
    <w:p w:rsidR="00B721A5" w:rsidRPr="00C71464" w:rsidP="00B721A5">
      <w:pPr>
        <w:shd w:val="clear" w:color="auto" w:fill="FFFFFF"/>
        <w:rPr>
          <w:rFonts w:ascii="Times New Roman" w:hAnsi="Times New Roman"/>
          <w:i/>
          <w:iCs/>
          <w:sz w:val="22"/>
          <w:szCs w:val="22"/>
          <w:u w:val="single"/>
        </w:rPr>
      </w:pPr>
      <w:r w:rsidRPr="00C71464">
        <w:rPr>
          <w:rFonts w:ascii="Times New Roman" w:hAnsi="Times New Roman"/>
          <w:sz w:val="22"/>
          <w:szCs w:val="22"/>
        </w:rPr>
        <w:t>Each year, the Commission is required to collect regulatory f</w:t>
      </w:r>
      <w:r w:rsidRPr="00C71464">
        <w:rPr>
          <w:rFonts w:ascii="Times New Roman" w:hAnsi="Times New Roman"/>
          <w:snapToGrid w:val="0"/>
          <w:sz w:val="22"/>
          <w:szCs w:val="22"/>
        </w:rPr>
        <w:t xml:space="preserve">ees.  Licensees </w:t>
      </w:r>
      <w:r w:rsidRPr="00C71464">
        <w:rPr>
          <w:rFonts w:ascii="Times New Roman" w:hAnsi="Times New Roman"/>
          <w:sz w:val="22"/>
          <w:szCs w:val="22"/>
        </w:rPr>
        <w:t xml:space="preserve">and </w:t>
      </w:r>
      <w:r w:rsidRPr="00C71464">
        <w:rPr>
          <w:rFonts w:ascii="Times New Roman" w:hAnsi="Times New Roman"/>
          <w:sz w:val="22"/>
          <w:szCs w:val="22"/>
        </w:rPr>
        <w:t>regulatees</w:t>
      </w:r>
      <w:r w:rsidRPr="00C71464">
        <w:rPr>
          <w:rFonts w:ascii="Times New Roman" w:hAnsi="Times New Roman"/>
          <w:sz w:val="22"/>
          <w:szCs w:val="22"/>
        </w:rPr>
        <w:t xml:space="preserve"> are assessed fees as set forth in </w:t>
      </w:r>
      <w:r w:rsidRPr="00C71464">
        <w:rPr>
          <w:rFonts w:ascii="Times New Roman" w:hAnsi="Times New Roman"/>
          <w:i/>
          <w:sz w:val="22"/>
          <w:szCs w:val="22"/>
        </w:rPr>
        <w:t>Assessment and Collection of Regulatory Fees for Fiscal Year 201</w:t>
      </w:r>
      <w:r w:rsidR="001600B1">
        <w:rPr>
          <w:rFonts w:ascii="Times New Roman" w:hAnsi="Times New Roman"/>
          <w:i/>
          <w:sz w:val="22"/>
          <w:szCs w:val="22"/>
        </w:rPr>
        <w:t>8</w:t>
      </w:r>
      <w:r w:rsidRPr="00C71464">
        <w:rPr>
          <w:rFonts w:ascii="Times New Roman" w:hAnsi="Times New Roman"/>
          <w:i/>
          <w:sz w:val="22"/>
          <w:szCs w:val="22"/>
        </w:rPr>
        <w:t>,</w:t>
      </w:r>
      <w:r w:rsidRPr="00C71464">
        <w:rPr>
          <w:rFonts w:ascii="Times New Roman" w:hAnsi="Times New Roman"/>
          <w:sz w:val="22"/>
          <w:szCs w:val="22"/>
        </w:rPr>
        <w:t xml:space="preserve"> </w:t>
      </w:r>
      <w:r w:rsidRPr="00C71464">
        <w:rPr>
          <w:rFonts w:ascii="Times New Roman" w:hAnsi="Times New Roman"/>
          <w:i/>
          <w:sz w:val="22"/>
          <w:szCs w:val="22"/>
        </w:rPr>
        <w:t>Report and Order</w:t>
      </w:r>
      <w:r w:rsidR="0036056C">
        <w:rPr>
          <w:rFonts w:ascii="Times New Roman" w:hAnsi="Times New Roman"/>
          <w:i/>
          <w:sz w:val="22"/>
          <w:szCs w:val="22"/>
        </w:rPr>
        <w:t xml:space="preserve"> and Order</w:t>
      </w:r>
      <w:r w:rsidR="001600B1">
        <w:rPr>
          <w:rFonts w:ascii="Times New Roman" w:hAnsi="Times New Roman"/>
          <w:sz w:val="22"/>
          <w:szCs w:val="22"/>
        </w:rPr>
        <w:t>, (released August</w:t>
      </w:r>
      <w:r w:rsidRPr="00C71464">
        <w:rPr>
          <w:rFonts w:ascii="Times New Roman" w:hAnsi="Times New Roman"/>
          <w:sz w:val="22"/>
          <w:szCs w:val="22"/>
        </w:rPr>
        <w:t xml:space="preserve"> </w:t>
      </w:r>
      <w:r w:rsidR="003B2FDE">
        <w:rPr>
          <w:rFonts w:ascii="Times New Roman" w:hAnsi="Times New Roman"/>
          <w:sz w:val="22"/>
          <w:szCs w:val="22"/>
        </w:rPr>
        <w:t>29</w:t>
      </w:r>
      <w:r w:rsidRPr="00C71464">
        <w:rPr>
          <w:rFonts w:ascii="Times New Roman" w:hAnsi="Times New Roman"/>
          <w:sz w:val="22"/>
          <w:szCs w:val="22"/>
        </w:rPr>
        <w:t>, 201</w:t>
      </w:r>
      <w:r w:rsidR="001600B1">
        <w:rPr>
          <w:rFonts w:ascii="Times New Roman" w:hAnsi="Times New Roman"/>
          <w:sz w:val="22"/>
          <w:szCs w:val="22"/>
        </w:rPr>
        <w:t>8</w:t>
      </w:r>
      <w:r w:rsidRPr="00C71464">
        <w:rPr>
          <w:rFonts w:ascii="Times New Roman" w:hAnsi="Times New Roman"/>
          <w:sz w:val="22"/>
          <w:szCs w:val="22"/>
        </w:rPr>
        <w:t xml:space="preserve">) </w:t>
      </w:r>
      <w:r w:rsidRPr="00C71464">
        <w:rPr>
          <w:rFonts w:ascii="Times New Roman" w:hAnsi="Times New Roman"/>
          <w:i/>
          <w:sz w:val="22"/>
          <w:szCs w:val="22"/>
        </w:rPr>
        <w:t>(“</w:t>
      </w:r>
      <w:r w:rsidRPr="00C71464">
        <w:rPr>
          <w:rFonts w:ascii="Times New Roman" w:hAnsi="Times New Roman"/>
          <w:sz w:val="22"/>
          <w:szCs w:val="22"/>
        </w:rPr>
        <w:t>FY 201</w:t>
      </w:r>
      <w:r w:rsidR="001600B1">
        <w:rPr>
          <w:rFonts w:ascii="Times New Roman" w:hAnsi="Times New Roman"/>
          <w:sz w:val="22"/>
          <w:szCs w:val="22"/>
        </w:rPr>
        <w:t>8</w:t>
      </w:r>
      <w:r w:rsidRPr="00C71464">
        <w:rPr>
          <w:rFonts w:ascii="Times New Roman" w:hAnsi="Times New Roman"/>
          <w:sz w:val="22"/>
          <w:szCs w:val="22"/>
        </w:rPr>
        <w:t xml:space="preserve"> Regulatory Fees</w:t>
      </w:r>
      <w:r w:rsidRPr="00C71464">
        <w:rPr>
          <w:rFonts w:ascii="Times New Roman" w:hAnsi="Times New Roman"/>
          <w:i/>
          <w:sz w:val="22"/>
          <w:szCs w:val="22"/>
        </w:rPr>
        <w:t>, Report and Order”</w:t>
      </w:r>
      <w:r w:rsidRPr="00C71464">
        <w:rPr>
          <w:rFonts w:ascii="Times New Roman" w:hAnsi="Times New Roman"/>
          <w:sz w:val="22"/>
          <w:szCs w:val="22"/>
        </w:rPr>
        <w:t xml:space="preserve">).  The Commission also publishes industry-specific guidance in </w:t>
      </w:r>
      <w:r w:rsidRPr="00C71464">
        <w:rPr>
          <w:rFonts w:ascii="Times New Roman" w:hAnsi="Times New Roman"/>
          <w:i/>
          <w:iCs/>
          <w:sz w:val="22"/>
          <w:szCs w:val="22"/>
        </w:rPr>
        <w:t>Who Owes Fees &amp; What Is My FY 201</w:t>
      </w:r>
      <w:r w:rsidR="001600B1">
        <w:rPr>
          <w:rFonts w:ascii="Times New Roman" w:hAnsi="Times New Roman"/>
          <w:i/>
          <w:iCs/>
          <w:sz w:val="22"/>
          <w:szCs w:val="22"/>
        </w:rPr>
        <w:t>8</w:t>
      </w:r>
      <w:r w:rsidRPr="00C71464">
        <w:rPr>
          <w:rFonts w:ascii="Times New Roman" w:hAnsi="Times New Roman"/>
          <w:i/>
          <w:iCs/>
          <w:sz w:val="22"/>
          <w:szCs w:val="22"/>
        </w:rPr>
        <w:t xml:space="preserve"> Fee, </w:t>
      </w:r>
      <w:r w:rsidRPr="00C71464">
        <w:rPr>
          <w:rFonts w:ascii="Times New Roman" w:hAnsi="Times New Roman"/>
          <w:sz w:val="22"/>
          <w:szCs w:val="22"/>
        </w:rPr>
        <w:t xml:space="preserve">which can be found on the Commission website at </w:t>
      </w:r>
      <w:r>
        <w:fldChar w:fldCharType="begin"/>
      </w:r>
      <w:r>
        <w:instrText xml:space="preserve"> HYPERLINK "http://www.fcc.gov/regfees" </w:instrText>
      </w:r>
      <w:r>
        <w:fldChar w:fldCharType="separate"/>
      </w:r>
      <w:r w:rsidRPr="00C71464">
        <w:rPr>
          <w:rStyle w:val="Hyperlink"/>
          <w:rFonts w:ascii="Times New Roman" w:hAnsi="Times New Roman"/>
          <w:sz w:val="22"/>
          <w:szCs w:val="22"/>
        </w:rPr>
        <w:t>http://www.fcc.gov/regfees</w:t>
      </w:r>
      <w:r>
        <w:fldChar w:fldCharType="end"/>
      </w:r>
      <w:r w:rsidRPr="00C71464">
        <w:rPr>
          <w:rFonts w:ascii="Times New Roman" w:hAnsi="Times New Roman"/>
          <w:i/>
          <w:iCs/>
          <w:sz w:val="22"/>
          <w:szCs w:val="22"/>
          <w:u w:val="single"/>
        </w:rPr>
        <w:t>.</w:t>
      </w:r>
    </w:p>
    <w:p w:rsidR="00B721A5" w:rsidRPr="00C71464" w:rsidP="00B721A5">
      <w:pPr>
        <w:shd w:val="clear" w:color="auto" w:fill="FFFFFF"/>
        <w:rPr>
          <w:rFonts w:ascii="Times New Roman" w:hAnsi="Times New Roman"/>
          <w:sz w:val="22"/>
          <w:szCs w:val="22"/>
        </w:rPr>
      </w:pPr>
    </w:p>
    <w:p w:rsidR="00B721A5" w:rsidRPr="00C71464" w:rsidP="00B721A5">
      <w:pPr>
        <w:shd w:val="clear" w:color="auto" w:fill="FFFFFF"/>
        <w:rPr>
          <w:rFonts w:ascii="Times New Roman" w:hAnsi="Times New Roman"/>
          <w:sz w:val="22"/>
          <w:szCs w:val="22"/>
        </w:rPr>
      </w:pPr>
      <w:r w:rsidRPr="00C71464">
        <w:rPr>
          <w:rFonts w:ascii="Times New Roman" w:hAnsi="Times New Roman"/>
          <w:sz w:val="22"/>
          <w:szCs w:val="22"/>
        </w:rPr>
        <w:t xml:space="preserve">The Commission’s automated filing and payment system (“Fee Filer”) is available for </w:t>
      </w:r>
      <w:r w:rsidRPr="00C71464">
        <w:rPr>
          <w:rFonts w:ascii="Times New Roman" w:hAnsi="Times New Roman"/>
          <w:sz w:val="22"/>
          <w:szCs w:val="22"/>
          <w:u w:val="single"/>
        </w:rPr>
        <w:t>filing</w:t>
      </w:r>
      <w:r w:rsidRPr="00C71464">
        <w:rPr>
          <w:rFonts w:ascii="Times New Roman" w:hAnsi="Times New Roman"/>
          <w:sz w:val="22"/>
          <w:szCs w:val="22"/>
        </w:rPr>
        <w:t xml:space="preserve"> and </w:t>
      </w:r>
      <w:r w:rsidRPr="00C71464">
        <w:rPr>
          <w:rFonts w:ascii="Times New Roman" w:hAnsi="Times New Roman"/>
          <w:sz w:val="22"/>
          <w:szCs w:val="22"/>
          <w:u w:val="single"/>
        </w:rPr>
        <w:t>viewing</w:t>
      </w:r>
      <w:r w:rsidRPr="00C71464">
        <w:rPr>
          <w:rFonts w:ascii="Times New Roman" w:hAnsi="Times New Roman"/>
          <w:sz w:val="22"/>
          <w:szCs w:val="22"/>
        </w:rPr>
        <w:t xml:space="preserve"> of FY 201</w:t>
      </w:r>
      <w:r w:rsidR="001600B1">
        <w:rPr>
          <w:rFonts w:ascii="Times New Roman" w:hAnsi="Times New Roman"/>
          <w:sz w:val="22"/>
          <w:szCs w:val="22"/>
        </w:rPr>
        <w:t>8</w:t>
      </w:r>
      <w:r w:rsidRPr="00C71464">
        <w:rPr>
          <w:rFonts w:ascii="Times New Roman" w:hAnsi="Times New Roman"/>
          <w:sz w:val="22"/>
          <w:szCs w:val="22"/>
        </w:rPr>
        <w:t xml:space="preserve"> regulatory fees.  While FY 201</w:t>
      </w:r>
      <w:r w:rsidR="001600B1">
        <w:rPr>
          <w:rFonts w:ascii="Times New Roman" w:hAnsi="Times New Roman"/>
          <w:sz w:val="22"/>
          <w:szCs w:val="22"/>
        </w:rPr>
        <w:t>8</w:t>
      </w:r>
      <w:r w:rsidRPr="00C71464">
        <w:rPr>
          <w:rFonts w:ascii="Times New Roman" w:hAnsi="Times New Roman"/>
          <w:sz w:val="22"/>
          <w:szCs w:val="22"/>
        </w:rPr>
        <w:t xml:space="preserve"> regulatory fees will not become effective until the rulemaking is published in the </w:t>
      </w:r>
      <w:r w:rsidRPr="005C0C38">
        <w:rPr>
          <w:rFonts w:ascii="Times New Roman" w:hAnsi="Times New Roman"/>
          <w:i/>
          <w:sz w:val="22"/>
          <w:szCs w:val="22"/>
        </w:rPr>
        <w:t>Federal Register</w:t>
      </w:r>
      <w:r w:rsidRPr="00C71464">
        <w:rPr>
          <w:rFonts w:ascii="Times New Roman" w:hAnsi="Times New Roman"/>
          <w:sz w:val="22"/>
          <w:szCs w:val="22"/>
        </w:rPr>
        <w:t xml:space="preserve">, </w:t>
      </w:r>
      <w:r w:rsidRPr="00C71464">
        <w:rPr>
          <w:rFonts w:ascii="Times New Roman" w:hAnsi="Times New Roman"/>
          <w:sz w:val="22"/>
          <w:szCs w:val="22"/>
        </w:rPr>
        <w:t>regulatees</w:t>
      </w:r>
      <w:r w:rsidRPr="00C71464">
        <w:rPr>
          <w:rFonts w:ascii="Times New Roman" w:hAnsi="Times New Roman"/>
          <w:sz w:val="22"/>
          <w:szCs w:val="22"/>
        </w:rPr>
        <w:t xml:space="preserve"> at their own discretion, may submit payments at any time before the effective due date of FY 201</w:t>
      </w:r>
      <w:r w:rsidR="001600B1">
        <w:rPr>
          <w:rFonts w:ascii="Times New Roman" w:hAnsi="Times New Roman"/>
          <w:sz w:val="22"/>
          <w:szCs w:val="22"/>
        </w:rPr>
        <w:t>8</w:t>
      </w:r>
      <w:r w:rsidRPr="00C71464">
        <w:rPr>
          <w:rFonts w:ascii="Times New Roman" w:hAnsi="Times New Roman"/>
          <w:sz w:val="22"/>
          <w:szCs w:val="22"/>
        </w:rPr>
        <w:t xml:space="preserve"> regulatory fees.  </w:t>
      </w:r>
      <w:r w:rsidRPr="00C71464">
        <w:rPr>
          <w:rFonts w:ascii="Times New Roman" w:hAnsi="Times New Roman"/>
          <w:b/>
          <w:sz w:val="22"/>
          <w:szCs w:val="22"/>
        </w:rPr>
        <w:t xml:space="preserve">Regulatory fee payments </w:t>
      </w:r>
      <w:r w:rsidR="00F677B4">
        <w:rPr>
          <w:rFonts w:ascii="Times New Roman" w:hAnsi="Times New Roman"/>
          <w:b/>
          <w:sz w:val="22"/>
          <w:szCs w:val="22"/>
        </w:rPr>
        <w:t xml:space="preserve">MUST BE </w:t>
      </w:r>
      <w:r w:rsidRPr="00C71464">
        <w:rPr>
          <w:rFonts w:ascii="Times New Roman" w:hAnsi="Times New Roman"/>
          <w:b/>
          <w:sz w:val="22"/>
          <w:szCs w:val="22"/>
        </w:rPr>
        <w:t xml:space="preserve">RECEIVED </w:t>
      </w:r>
      <w:r>
        <w:rPr>
          <w:rStyle w:val="FootnoteReference"/>
          <w:rFonts w:ascii="Times New Roman" w:hAnsi="Times New Roman"/>
          <w:b/>
          <w:sz w:val="22"/>
          <w:szCs w:val="22"/>
        </w:rPr>
        <w:footnoteReference w:id="2"/>
      </w:r>
      <w:r w:rsidRPr="00C71464">
        <w:rPr>
          <w:rFonts w:ascii="Times New Roman" w:hAnsi="Times New Roman"/>
          <w:b/>
          <w:sz w:val="22"/>
          <w:szCs w:val="22"/>
        </w:rPr>
        <w:t xml:space="preserve"> by the Commission no later than 11:59 PM, Eastern Daylight Time, on September </w:t>
      </w:r>
      <w:r w:rsidR="001600B1">
        <w:rPr>
          <w:rFonts w:ascii="Times New Roman" w:hAnsi="Times New Roman"/>
          <w:b/>
          <w:sz w:val="22"/>
          <w:szCs w:val="22"/>
        </w:rPr>
        <w:t>25</w:t>
      </w:r>
      <w:r w:rsidRPr="00C71464">
        <w:rPr>
          <w:rFonts w:ascii="Times New Roman" w:hAnsi="Times New Roman"/>
          <w:b/>
          <w:sz w:val="22"/>
          <w:szCs w:val="22"/>
        </w:rPr>
        <w:t>, 201</w:t>
      </w:r>
      <w:r w:rsidR="001600B1">
        <w:rPr>
          <w:rFonts w:ascii="Times New Roman" w:hAnsi="Times New Roman"/>
          <w:b/>
          <w:sz w:val="22"/>
          <w:szCs w:val="22"/>
        </w:rPr>
        <w:t>8</w:t>
      </w:r>
      <w:r w:rsidRPr="00C71464">
        <w:rPr>
          <w:rFonts w:ascii="Times New Roman" w:hAnsi="Times New Roman"/>
          <w:b/>
          <w:sz w:val="22"/>
          <w:szCs w:val="22"/>
        </w:rPr>
        <w:t>.</w:t>
      </w:r>
    </w:p>
    <w:p w:rsidR="00B721A5" w:rsidRPr="00C71464" w:rsidP="00B721A5">
      <w:pPr>
        <w:shd w:val="clear" w:color="auto" w:fill="FFFFFF"/>
        <w:rPr>
          <w:rFonts w:ascii="Times New Roman" w:hAnsi="Times New Roman"/>
          <w:sz w:val="22"/>
          <w:szCs w:val="22"/>
        </w:rPr>
      </w:pPr>
    </w:p>
    <w:p w:rsidR="00B721A5" w:rsidRPr="00C71464" w:rsidP="00B721A5">
      <w:pPr>
        <w:shd w:val="clear" w:color="auto" w:fill="FFFFFF"/>
        <w:rPr>
          <w:rFonts w:ascii="Times New Roman" w:hAnsi="Times New Roman"/>
          <w:sz w:val="22"/>
          <w:szCs w:val="22"/>
        </w:rPr>
      </w:pPr>
      <w:r w:rsidRPr="00C71464">
        <w:rPr>
          <w:rFonts w:ascii="Times New Roman" w:hAnsi="Times New Roman"/>
          <w:spacing w:val="-3"/>
          <w:sz w:val="22"/>
          <w:szCs w:val="22"/>
        </w:rPr>
        <w:t xml:space="preserve">Cable television systems operating on </w:t>
      </w:r>
      <w:r w:rsidRPr="00C71464">
        <w:rPr>
          <w:rFonts w:ascii="Times New Roman" w:hAnsi="Times New Roman"/>
          <w:b/>
          <w:bCs/>
          <w:spacing w:val="-3"/>
          <w:sz w:val="22"/>
          <w:szCs w:val="22"/>
        </w:rPr>
        <w:t>October 1, 201</w:t>
      </w:r>
      <w:r w:rsidR="001600B1">
        <w:rPr>
          <w:rFonts w:ascii="Times New Roman" w:hAnsi="Times New Roman"/>
          <w:b/>
          <w:bCs/>
          <w:spacing w:val="-3"/>
          <w:sz w:val="22"/>
          <w:szCs w:val="22"/>
        </w:rPr>
        <w:t>7</w:t>
      </w:r>
      <w:r w:rsidRPr="00C71464">
        <w:rPr>
          <w:rFonts w:ascii="Times New Roman" w:hAnsi="Times New Roman"/>
          <w:spacing w:val="-3"/>
          <w:sz w:val="22"/>
          <w:szCs w:val="22"/>
        </w:rPr>
        <w:t xml:space="preserve"> must pay a regulatory fee per subscriber</w:t>
      </w:r>
      <w:r>
        <w:rPr>
          <w:rStyle w:val="FootnoteReference"/>
          <w:rFonts w:ascii="Times New Roman" w:hAnsi="Times New Roman"/>
          <w:spacing w:val="-3"/>
          <w:sz w:val="22"/>
          <w:szCs w:val="22"/>
        </w:rPr>
        <w:footnoteReference w:id="3"/>
      </w:r>
      <w:r w:rsidRPr="00C71464">
        <w:rPr>
          <w:rFonts w:ascii="Times New Roman" w:hAnsi="Times New Roman"/>
          <w:spacing w:val="-3"/>
          <w:sz w:val="22"/>
          <w:szCs w:val="22"/>
        </w:rPr>
        <w:t xml:space="preserve"> for </w:t>
      </w:r>
      <w:r w:rsidRPr="00C71464">
        <w:rPr>
          <w:rFonts w:ascii="Times New Roman" w:hAnsi="Times New Roman"/>
          <w:spacing w:val="-3"/>
          <w:sz w:val="22"/>
          <w:szCs w:val="22"/>
        </w:rPr>
        <w:t>all of</w:t>
      </w:r>
      <w:r w:rsidRPr="00C71464">
        <w:rPr>
          <w:rFonts w:ascii="Times New Roman" w:hAnsi="Times New Roman"/>
          <w:spacing w:val="-3"/>
          <w:sz w:val="22"/>
          <w:szCs w:val="22"/>
        </w:rPr>
        <w:t xml:space="preserve"> the community units (CUIDs) in which they operate.  </w:t>
      </w:r>
      <w:r w:rsidRPr="00C71464">
        <w:rPr>
          <w:rFonts w:ascii="Times New Roman" w:hAnsi="Times New Roman"/>
          <w:sz w:val="22"/>
          <w:szCs w:val="22"/>
        </w:rPr>
        <w:t xml:space="preserve">The number of basic cable subscribers that were served on </w:t>
      </w:r>
      <w:r w:rsidRPr="00C71464">
        <w:rPr>
          <w:rFonts w:ascii="Times New Roman" w:hAnsi="Times New Roman"/>
          <w:b/>
          <w:bCs/>
          <w:sz w:val="22"/>
          <w:szCs w:val="22"/>
        </w:rPr>
        <w:t>December 31, 201</w:t>
      </w:r>
      <w:r w:rsidR="001600B1">
        <w:rPr>
          <w:rFonts w:ascii="Times New Roman" w:hAnsi="Times New Roman"/>
          <w:b/>
          <w:bCs/>
          <w:sz w:val="22"/>
          <w:szCs w:val="22"/>
        </w:rPr>
        <w:t>7</w:t>
      </w:r>
      <w:r w:rsidRPr="00C71464">
        <w:rPr>
          <w:rFonts w:ascii="Times New Roman" w:hAnsi="Times New Roman"/>
          <w:sz w:val="22"/>
          <w:szCs w:val="22"/>
        </w:rPr>
        <w:t xml:space="preserve"> should be used as the basis from which to calculate the fee payment.  Regulatory fees should be paid </w:t>
      </w:r>
      <w:r w:rsidRPr="00C71464">
        <w:rPr>
          <w:rFonts w:ascii="Times New Roman" w:hAnsi="Times New Roman"/>
          <w:spacing w:val="-3"/>
          <w:sz w:val="22"/>
          <w:szCs w:val="22"/>
        </w:rPr>
        <w:t>with a single line aggregate total in Fee Filer without having to list your individual CUIDs.  In FY 2013, the Commission concluded that Internet Protocol TV (IPTV) subscribers should be included in the Cable Television Systems category, and assessed a regulatory fee at the same rate as cable television fees.</w:t>
      </w:r>
      <w:r>
        <w:rPr>
          <w:rStyle w:val="FootnoteReference"/>
          <w:rFonts w:ascii="Times New Roman" w:hAnsi="Times New Roman"/>
          <w:spacing w:val="-3"/>
          <w:sz w:val="22"/>
          <w:szCs w:val="22"/>
        </w:rPr>
        <w:footnoteReference w:id="4"/>
      </w:r>
      <w:r w:rsidRPr="00C71464">
        <w:rPr>
          <w:rFonts w:ascii="Times New Roman" w:hAnsi="Times New Roman"/>
          <w:spacing w:val="-3"/>
          <w:sz w:val="22"/>
          <w:szCs w:val="22"/>
        </w:rPr>
        <w:t xml:space="preserve">  After the requisite congressional notification, the fees for IPTV became effective on </w:t>
      </w:r>
      <w:r w:rsidRPr="00C71464">
        <w:rPr>
          <w:rFonts w:ascii="Times New Roman" w:hAnsi="Times New Roman"/>
          <w:sz w:val="22"/>
          <w:szCs w:val="22"/>
        </w:rPr>
        <w:t>June 25, 2014.</w:t>
      </w:r>
      <w:r>
        <w:rPr>
          <w:rStyle w:val="FootnoteReference"/>
          <w:rFonts w:ascii="Times New Roman" w:hAnsi="Times New Roman"/>
          <w:sz w:val="22"/>
          <w:szCs w:val="22"/>
        </w:rPr>
        <w:footnoteReference w:id="5"/>
      </w:r>
      <w:r w:rsidRPr="00C71464">
        <w:rPr>
          <w:rFonts w:ascii="Times New Roman" w:hAnsi="Times New Roman"/>
          <w:sz w:val="22"/>
          <w:szCs w:val="22"/>
        </w:rPr>
        <w:t xml:space="preserve">  Hence, beginning in FY 2014 and thereafter, providers of IPTV </w:t>
      </w:r>
      <w:r w:rsidR="00520EF0">
        <w:rPr>
          <w:rFonts w:ascii="Times New Roman" w:hAnsi="Times New Roman"/>
          <w:sz w:val="22"/>
          <w:szCs w:val="22"/>
        </w:rPr>
        <w:t xml:space="preserve">are subject to </w:t>
      </w:r>
      <w:r w:rsidRPr="00C71464">
        <w:rPr>
          <w:rFonts w:ascii="Times New Roman" w:hAnsi="Times New Roman"/>
          <w:sz w:val="22"/>
          <w:szCs w:val="22"/>
        </w:rPr>
        <w:t>regulatory fee</w:t>
      </w:r>
      <w:r w:rsidR="00520EF0">
        <w:rPr>
          <w:rFonts w:ascii="Times New Roman" w:hAnsi="Times New Roman"/>
          <w:sz w:val="22"/>
          <w:szCs w:val="22"/>
        </w:rPr>
        <w:t>s</w:t>
      </w:r>
      <w:r w:rsidRPr="00C71464">
        <w:rPr>
          <w:rFonts w:ascii="Times New Roman" w:hAnsi="Times New Roman"/>
          <w:sz w:val="22"/>
          <w:szCs w:val="22"/>
        </w:rPr>
        <w:t>.</w:t>
      </w:r>
    </w:p>
    <w:p w:rsidR="00B721A5" w:rsidRPr="00C71464" w:rsidP="00B721A5">
      <w:pPr>
        <w:shd w:val="clear" w:color="auto" w:fill="FFFFFF"/>
        <w:rPr>
          <w:rFonts w:ascii="Times New Roman" w:hAnsi="Times New Roman"/>
          <w:spacing w:val="-3"/>
          <w:sz w:val="22"/>
          <w:szCs w:val="22"/>
        </w:rPr>
      </w:pPr>
    </w:p>
    <w:p w:rsidR="00B721A5" w:rsidRPr="00C71464">
      <w:pPr>
        <w:widowControl/>
        <w:autoSpaceDE w:val="0"/>
        <w:autoSpaceDN w:val="0"/>
        <w:adjustRightInd w:val="0"/>
        <w:rPr>
          <w:rFonts w:ascii="Times New Roman" w:hAnsi="Times New Roman"/>
          <w:sz w:val="22"/>
          <w:szCs w:val="22"/>
        </w:rPr>
      </w:pPr>
      <w:r w:rsidRPr="00C71464">
        <w:rPr>
          <w:rFonts w:ascii="Times New Roman" w:hAnsi="Times New Roman"/>
          <w:sz w:val="22"/>
          <w:szCs w:val="22"/>
        </w:rPr>
        <w:t>Cable television system operators and licensees of CARS facilities must pay a regulatory fee if they were operating or held a CARS license on October 1, 201</w:t>
      </w:r>
      <w:r w:rsidR="001600B1">
        <w:rPr>
          <w:rFonts w:ascii="Times New Roman" w:hAnsi="Times New Roman"/>
          <w:sz w:val="22"/>
          <w:szCs w:val="22"/>
        </w:rPr>
        <w:t>7</w:t>
      </w:r>
      <w:r w:rsidRPr="00C71464">
        <w:rPr>
          <w:rFonts w:ascii="Times New Roman" w:hAnsi="Times New Roman"/>
          <w:sz w:val="22"/>
          <w:szCs w:val="22"/>
        </w:rPr>
        <w:t xml:space="preserve">, </w:t>
      </w:r>
      <w:r w:rsidRPr="00C71464">
        <w:rPr>
          <w:rFonts w:ascii="Times New Roman" w:hAnsi="Times New Roman"/>
          <w:sz w:val="22"/>
          <w:szCs w:val="22"/>
          <w:u w:val="single"/>
        </w:rPr>
        <w:t>even if a facility’s license expired after October 1, 201</w:t>
      </w:r>
      <w:r w:rsidR="001600B1">
        <w:rPr>
          <w:rFonts w:ascii="Times New Roman" w:hAnsi="Times New Roman"/>
          <w:sz w:val="22"/>
          <w:szCs w:val="22"/>
          <w:u w:val="single"/>
        </w:rPr>
        <w:t>7</w:t>
      </w:r>
      <w:r w:rsidRPr="00C71464">
        <w:rPr>
          <w:rFonts w:ascii="Times New Roman" w:hAnsi="Times New Roman"/>
          <w:sz w:val="22"/>
          <w:szCs w:val="22"/>
        </w:rPr>
        <w:t>.  In instances where a license or authorization is transferred or assigned after October 1, 201</w:t>
      </w:r>
      <w:r w:rsidR="001600B1">
        <w:rPr>
          <w:rFonts w:ascii="Times New Roman" w:hAnsi="Times New Roman"/>
          <w:sz w:val="22"/>
          <w:szCs w:val="22"/>
        </w:rPr>
        <w:t>7</w:t>
      </w:r>
      <w:r w:rsidRPr="00C71464">
        <w:rPr>
          <w:rFonts w:ascii="Times New Roman" w:hAnsi="Times New Roman"/>
          <w:sz w:val="22"/>
          <w:szCs w:val="22"/>
        </w:rPr>
        <w:t xml:space="preserve">, the fee </w:t>
      </w:r>
      <w:r w:rsidRPr="00C71464">
        <w:rPr>
          <w:rFonts w:ascii="Times New Roman" w:hAnsi="Times New Roman"/>
          <w:sz w:val="22"/>
          <w:szCs w:val="22"/>
        </w:rPr>
        <w:t>must be paid by the party that is the licensee or holder of the authorization on the date that the fee payment is due.  When submitting payment, CARS licensees should individually list each of their CARS call signs.</w:t>
      </w:r>
    </w:p>
    <w:p w:rsidR="00B721A5" w:rsidRPr="00C71464">
      <w:pPr>
        <w:widowControl/>
        <w:autoSpaceDE w:val="0"/>
        <w:autoSpaceDN w:val="0"/>
        <w:adjustRightInd w:val="0"/>
        <w:rPr>
          <w:rFonts w:ascii="Times New Roman" w:hAnsi="Times New Roman"/>
          <w:sz w:val="22"/>
          <w:szCs w:val="22"/>
        </w:rPr>
      </w:pPr>
    </w:p>
    <w:p w:rsidR="00B721A5" w:rsidRPr="00C71464">
      <w:pPr>
        <w:tabs>
          <w:tab w:val="left" w:pos="-720"/>
        </w:tabs>
        <w:suppressAutoHyphens/>
        <w:rPr>
          <w:rFonts w:ascii="Times New Roman" w:hAnsi="Times New Roman"/>
          <w:sz w:val="22"/>
          <w:szCs w:val="22"/>
        </w:rPr>
      </w:pPr>
      <w:r w:rsidRPr="00C71464">
        <w:rPr>
          <w:rFonts w:ascii="Times New Roman" w:hAnsi="Times New Roman"/>
          <w:b/>
          <w:sz w:val="22"/>
          <w:szCs w:val="22"/>
        </w:rPr>
        <w:t xml:space="preserve">Notice of Billing:  </w:t>
      </w:r>
      <w:r w:rsidRPr="00C71464">
        <w:rPr>
          <w:rFonts w:ascii="Times New Roman" w:hAnsi="Times New Roman"/>
          <w:sz w:val="22"/>
          <w:szCs w:val="22"/>
        </w:rPr>
        <w:t xml:space="preserve">CARS licensees </w:t>
      </w:r>
      <w:r w:rsidRPr="00C71464">
        <w:rPr>
          <w:rFonts w:ascii="Times New Roman" w:hAnsi="Times New Roman"/>
          <w:sz w:val="22"/>
          <w:szCs w:val="22"/>
          <w:u w:val="single"/>
        </w:rPr>
        <w:t>will not</w:t>
      </w:r>
      <w:r w:rsidRPr="00C71464">
        <w:rPr>
          <w:rFonts w:ascii="Times New Roman" w:hAnsi="Times New Roman"/>
          <w:sz w:val="22"/>
          <w:szCs w:val="22"/>
        </w:rPr>
        <w:t xml:space="preserve"> receive a pre-completed regulatory fee bill (FCC Form 159-B) in the mail for their CARS licenses.  A regulatory fee bill will be created, but this bill will be available for viewing only by accessing </w:t>
      </w:r>
      <w:r w:rsidRPr="00C71464">
        <w:rPr>
          <w:rFonts w:ascii="Times New Roman" w:hAnsi="Times New Roman"/>
          <w:bCs/>
          <w:sz w:val="22"/>
          <w:szCs w:val="22"/>
        </w:rPr>
        <w:t xml:space="preserve">Fee Filer.  </w:t>
      </w:r>
      <w:r w:rsidRPr="00C71464">
        <w:rPr>
          <w:rFonts w:ascii="Times New Roman" w:hAnsi="Times New Roman"/>
          <w:sz w:val="22"/>
          <w:szCs w:val="22"/>
        </w:rPr>
        <w:t xml:space="preserve">CARS licensees are also required to make regulatory fee payments for all other non-billed holdings, such as cable systems and other fee services. </w:t>
      </w:r>
    </w:p>
    <w:p w:rsidR="00B721A5" w:rsidRPr="00C71464">
      <w:pPr>
        <w:tabs>
          <w:tab w:val="left" w:pos="-720"/>
        </w:tabs>
        <w:suppressAutoHyphens/>
        <w:rPr>
          <w:rFonts w:ascii="Times New Roman" w:hAnsi="Times New Roman"/>
          <w:sz w:val="22"/>
          <w:szCs w:val="22"/>
        </w:rPr>
      </w:pPr>
    </w:p>
    <w:p w:rsidR="00B721A5" w:rsidRPr="00C71464" w:rsidP="00B721A5">
      <w:pPr>
        <w:tabs>
          <w:tab w:val="left" w:pos="-720"/>
        </w:tabs>
        <w:suppressAutoHyphens/>
        <w:jc w:val="center"/>
        <w:rPr>
          <w:rFonts w:ascii="Times New Roman" w:hAnsi="Times New Roman"/>
          <w:sz w:val="22"/>
          <w:szCs w:val="22"/>
        </w:rPr>
      </w:pPr>
      <w:r w:rsidRPr="00C71464">
        <w:rPr>
          <w:rFonts w:ascii="Times New Roman" w:hAnsi="Times New Roman"/>
          <w:b/>
          <w:sz w:val="22"/>
          <w:szCs w:val="22"/>
        </w:rPr>
        <w:t>DIRECT BROADCAST SATELLITE (DBS)</w:t>
      </w:r>
      <w:r w:rsidR="005C0C38">
        <w:rPr>
          <w:rFonts w:ascii="Times New Roman" w:hAnsi="Times New Roman"/>
          <w:b/>
          <w:sz w:val="22"/>
          <w:szCs w:val="22"/>
        </w:rPr>
        <w:t xml:space="preserve"> </w:t>
      </w:r>
      <w:r w:rsidRPr="00C71464">
        <w:rPr>
          <w:rFonts w:ascii="Times New Roman" w:hAnsi="Times New Roman"/>
          <w:b/>
          <w:sz w:val="22"/>
          <w:szCs w:val="22"/>
        </w:rPr>
        <w:t>REGULATORY FEE</w:t>
      </w:r>
    </w:p>
    <w:p w:rsidR="00B721A5" w:rsidRPr="00C71464" w:rsidP="00B721A5">
      <w:pPr>
        <w:tabs>
          <w:tab w:val="left" w:pos="-720"/>
        </w:tabs>
        <w:suppressAutoHyphens/>
        <w:jc w:val="center"/>
        <w:rPr>
          <w:rFonts w:ascii="Times New Roman" w:hAnsi="Times New Roman"/>
          <w:sz w:val="22"/>
          <w:szCs w:val="22"/>
        </w:rPr>
      </w:pPr>
    </w:p>
    <w:p w:rsidR="00B721A5" w:rsidRPr="00C71464" w:rsidP="00B721A5">
      <w:pPr>
        <w:tabs>
          <w:tab w:val="left" w:pos="-720"/>
        </w:tabs>
        <w:suppressAutoHyphens/>
        <w:rPr>
          <w:rFonts w:ascii="Times New Roman" w:hAnsi="Times New Roman"/>
          <w:sz w:val="22"/>
          <w:szCs w:val="22"/>
        </w:rPr>
      </w:pPr>
      <w:r w:rsidRPr="00C71464">
        <w:rPr>
          <w:rFonts w:ascii="Times New Roman" w:hAnsi="Times New Roman"/>
          <w:sz w:val="22"/>
          <w:szCs w:val="22"/>
        </w:rPr>
        <w:t>In FY 2015, the Commission institute</w:t>
      </w:r>
      <w:r>
        <w:rPr>
          <w:rFonts w:ascii="Times New Roman" w:hAnsi="Times New Roman"/>
          <w:sz w:val="22"/>
          <w:szCs w:val="22"/>
        </w:rPr>
        <w:t>d</w:t>
      </w:r>
      <w:r w:rsidRPr="00C71464">
        <w:rPr>
          <w:rFonts w:ascii="Times New Roman" w:hAnsi="Times New Roman"/>
          <w:sz w:val="22"/>
          <w:szCs w:val="22"/>
        </w:rPr>
        <w:t xml:space="preserve"> a new Direct Broadcast Satellite (DBS) regulatory fee to be paid on a per subscriber basis.</w:t>
      </w:r>
      <w:r>
        <w:rPr>
          <w:rStyle w:val="FootnoteReference"/>
          <w:rFonts w:ascii="Times New Roman" w:hAnsi="Times New Roman"/>
          <w:sz w:val="22"/>
          <w:szCs w:val="22"/>
        </w:rPr>
        <w:footnoteReference w:id="6"/>
      </w:r>
      <w:r w:rsidRPr="00C71464">
        <w:rPr>
          <w:rFonts w:ascii="Times New Roman" w:hAnsi="Times New Roman"/>
          <w:sz w:val="22"/>
          <w:szCs w:val="22"/>
        </w:rPr>
        <w:t xml:space="preserve">  DBS providers are required to pay a DBS regulatory fee based on their subscriber count as of December 31, 201</w:t>
      </w:r>
      <w:r w:rsidR="001600B1">
        <w:rPr>
          <w:rFonts w:ascii="Times New Roman" w:hAnsi="Times New Roman"/>
          <w:sz w:val="22"/>
          <w:szCs w:val="22"/>
        </w:rPr>
        <w:t>7</w:t>
      </w:r>
      <w:r w:rsidRPr="00C71464">
        <w:rPr>
          <w:rFonts w:ascii="Times New Roman" w:hAnsi="Times New Roman"/>
          <w:sz w:val="22"/>
          <w:szCs w:val="22"/>
        </w:rPr>
        <w:t>.</w:t>
      </w:r>
    </w:p>
    <w:p w:rsidR="00B721A5" w:rsidRPr="00C71464" w:rsidP="00B721A5">
      <w:pPr>
        <w:tabs>
          <w:tab w:val="left" w:pos="-720"/>
        </w:tabs>
        <w:suppressAutoHyphens/>
        <w:rPr>
          <w:rFonts w:ascii="Times New Roman" w:hAnsi="Times New Roman"/>
          <w:sz w:val="22"/>
          <w:szCs w:val="22"/>
        </w:rPr>
      </w:pPr>
    </w:p>
    <w:p w:rsidR="00B721A5" w:rsidRPr="00C71464">
      <w:pPr>
        <w:widowControl/>
        <w:autoSpaceDE w:val="0"/>
        <w:autoSpaceDN w:val="0"/>
        <w:adjustRightInd w:val="0"/>
        <w:rPr>
          <w:rFonts w:ascii="Times New Roman" w:hAnsi="Times New Roman"/>
          <w:spacing w:val="-3"/>
          <w:sz w:val="22"/>
          <w:szCs w:val="22"/>
        </w:rPr>
      </w:pPr>
    </w:p>
    <w:tbl>
      <w:tblPr>
        <w:tblW w:w="9180" w:type="dxa"/>
        <w:tblInd w:w="120" w:type="dxa"/>
        <w:tblLayout w:type="fixed"/>
        <w:tblCellMar>
          <w:left w:w="120" w:type="dxa"/>
          <w:right w:w="120" w:type="dxa"/>
        </w:tblCellMar>
        <w:tblLook w:val="0000"/>
      </w:tblPr>
      <w:tblGrid>
        <w:gridCol w:w="3960"/>
        <w:gridCol w:w="2700"/>
        <w:gridCol w:w="2520"/>
      </w:tblGrid>
      <w:tr>
        <w:tblPrEx>
          <w:tblW w:w="9180" w:type="dxa"/>
          <w:tblInd w:w="120" w:type="dxa"/>
          <w:tblLayout w:type="fixed"/>
          <w:tblCellMar>
            <w:left w:w="120" w:type="dxa"/>
            <w:right w:w="120" w:type="dxa"/>
          </w:tblCellMar>
          <w:tblLook w:val="0000"/>
        </w:tblPrEx>
        <w:trPr>
          <w:trHeight w:val="639"/>
        </w:trPr>
        <w:tc>
          <w:tcPr>
            <w:tcW w:w="3960" w:type="dxa"/>
            <w:tcBorders>
              <w:top w:val="double" w:sz="6" w:space="0" w:color="auto"/>
              <w:left w:val="double" w:sz="6" w:space="0" w:color="auto"/>
            </w:tcBorders>
          </w:tcPr>
          <w:p w:rsidR="00B721A5" w:rsidRPr="00C71464">
            <w:pPr>
              <w:tabs>
                <w:tab w:val="left" w:pos="-720"/>
              </w:tabs>
              <w:suppressAutoHyphens/>
              <w:spacing w:before="90"/>
              <w:jc w:val="center"/>
              <w:rPr>
                <w:rFonts w:ascii="Times New Roman" w:hAnsi="Times New Roman"/>
                <w:sz w:val="22"/>
                <w:szCs w:val="22"/>
              </w:rPr>
            </w:pPr>
            <w:r>
              <w:rPr>
                <w:rFonts w:ascii="Times New Roman" w:hAnsi="Times New Roman"/>
                <w:spacing w:val="-3"/>
                <w:sz w:val="22"/>
                <w:szCs w:val="22"/>
              </w:rPr>
              <w:fldChar w:fldCharType="begin"/>
            </w:r>
            <w:r w:rsidRPr="00C71464">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C71464">
              <w:rPr>
                <w:rFonts w:ascii="Times New Roman" w:hAnsi="Times New Roman"/>
                <w:sz w:val="22"/>
                <w:szCs w:val="22"/>
              </w:rPr>
              <w:t>TYPE OF FEE</w:t>
            </w:r>
          </w:p>
          <w:p w:rsidR="00B721A5" w:rsidRPr="00C71464">
            <w:pPr>
              <w:tabs>
                <w:tab w:val="left" w:pos="-720"/>
              </w:tabs>
              <w:suppressAutoHyphens/>
              <w:spacing w:after="54"/>
              <w:rPr>
                <w:rFonts w:ascii="Times New Roman" w:hAnsi="Times New Roman"/>
                <w:sz w:val="22"/>
                <w:szCs w:val="22"/>
              </w:rPr>
            </w:pPr>
          </w:p>
        </w:tc>
        <w:tc>
          <w:tcPr>
            <w:tcW w:w="2700" w:type="dxa"/>
            <w:tcBorders>
              <w:top w:val="double" w:sz="6" w:space="0" w:color="auto"/>
              <w:left w:val="single" w:sz="6" w:space="0" w:color="auto"/>
            </w:tcBorders>
          </w:tcPr>
          <w:p w:rsidR="00B721A5" w:rsidRPr="00C71464">
            <w:pPr>
              <w:tabs>
                <w:tab w:val="left" w:pos="-720"/>
              </w:tabs>
              <w:suppressAutoHyphens/>
              <w:spacing w:before="90"/>
              <w:jc w:val="center"/>
              <w:rPr>
                <w:rFonts w:ascii="Times New Roman" w:hAnsi="Times New Roman"/>
                <w:sz w:val="22"/>
                <w:szCs w:val="22"/>
              </w:rPr>
            </w:pPr>
            <w:r w:rsidRPr="00C71464">
              <w:rPr>
                <w:rFonts w:ascii="Times New Roman" w:hAnsi="Times New Roman"/>
                <w:sz w:val="22"/>
                <w:szCs w:val="22"/>
              </w:rPr>
              <w:t>REGULATORY FEE PAYMENT</w:t>
            </w:r>
          </w:p>
        </w:tc>
        <w:tc>
          <w:tcPr>
            <w:tcW w:w="2520" w:type="dxa"/>
            <w:tcBorders>
              <w:top w:val="double" w:sz="6" w:space="0" w:color="auto"/>
              <w:left w:val="single" w:sz="6" w:space="0" w:color="auto"/>
              <w:right w:val="double" w:sz="6" w:space="0" w:color="auto"/>
            </w:tcBorders>
            <w:vAlign w:val="center"/>
          </w:tcPr>
          <w:p w:rsidR="00B721A5" w:rsidRPr="00C71464">
            <w:pPr>
              <w:tabs>
                <w:tab w:val="left" w:pos="-720"/>
              </w:tabs>
              <w:suppressAutoHyphens/>
              <w:spacing w:after="54"/>
              <w:jc w:val="center"/>
              <w:rPr>
                <w:rFonts w:ascii="Times New Roman" w:hAnsi="Times New Roman"/>
                <w:sz w:val="22"/>
                <w:szCs w:val="22"/>
              </w:rPr>
            </w:pPr>
            <w:r w:rsidRPr="00C71464">
              <w:rPr>
                <w:rFonts w:ascii="Times New Roman" w:hAnsi="Times New Roman"/>
                <w:sz w:val="22"/>
                <w:szCs w:val="22"/>
              </w:rPr>
              <w:t>PAYMENT TYPE CODE</w:t>
            </w:r>
          </w:p>
        </w:tc>
      </w:tr>
      <w:tr>
        <w:tblPrEx>
          <w:tblW w:w="9180" w:type="dxa"/>
          <w:tblInd w:w="120" w:type="dxa"/>
          <w:tblLayout w:type="fixed"/>
          <w:tblCellMar>
            <w:left w:w="120" w:type="dxa"/>
            <w:right w:w="120" w:type="dxa"/>
          </w:tblCellMar>
          <w:tblLook w:val="0000"/>
        </w:tblPrEx>
        <w:tc>
          <w:tcPr>
            <w:tcW w:w="3960" w:type="dxa"/>
            <w:tcBorders>
              <w:top w:val="double" w:sz="6" w:space="0" w:color="auto"/>
              <w:left w:val="double" w:sz="6" w:space="0" w:color="auto"/>
            </w:tcBorders>
          </w:tcPr>
          <w:p w:rsidR="00B721A5" w:rsidRPr="00C71464">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Cable System Subscriber Fee, Including</w:t>
            </w:r>
          </w:p>
          <w:p w:rsidR="00B721A5" w:rsidRPr="00C71464">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IPTV Subscribers</w:t>
            </w:r>
          </w:p>
        </w:tc>
        <w:tc>
          <w:tcPr>
            <w:tcW w:w="2700" w:type="dxa"/>
            <w:tcBorders>
              <w:top w:val="double" w:sz="6" w:space="0" w:color="auto"/>
              <w:left w:val="single" w:sz="6" w:space="0" w:color="auto"/>
            </w:tcBorders>
          </w:tcPr>
          <w:p w:rsidR="00B721A5" w:rsidRPr="00C71464" w:rsidP="00FB54AC">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w:t>
            </w:r>
            <w:r w:rsidR="001600B1">
              <w:rPr>
                <w:rFonts w:ascii="Times New Roman" w:hAnsi="Times New Roman"/>
                <w:sz w:val="22"/>
                <w:szCs w:val="22"/>
              </w:rPr>
              <w:t>77</w:t>
            </w:r>
            <w:r w:rsidRPr="00C71464">
              <w:rPr>
                <w:rFonts w:ascii="Times New Roman" w:hAnsi="Times New Roman"/>
                <w:sz w:val="22"/>
                <w:szCs w:val="22"/>
              </w:rPr>
              <w:t xml:space="preserve"> per subscriber</w:t>
            </w:r>
          </w:p>
        </w:tc>
        <w:tc>
          <w:tcPr>
            <w:tcW w:w="2520" w:type="dxa"/>
            <w:tcBorders>
              <w:top w:val="double" w:sz="6" w:space="0" w:color="auto"/>
              <w:left w:val="single" w:sz="6" w:space="0" w:color="auto"/>
              <w:right w:val="double" w:sz="6" w:space="0" w:color="auto"/>
            </w:tcBorders>
          </w:tcPr>
          <w:p w:rsidR="00B721A5" w:rsidRPr="00C71464" w:rsidP="00FB54AC">
            <w:pPr>
              <w:tabs>
                <w:tab w:val="center" w:pos="1311"/>
              </w:tabs>
              <w:suppressAutoHyphens/>
              <w:spacing w:before="90" w:after="54"/>
              <w:jc w:val="center"/>
              <w:rPr>
                <w:rFonts w:ascii="Times New Roman" w:hAnsi="Times New Roman"/>
                <w:sz w:val="22"/>
                <w:szCs w:val="22"/>
              </w:rPr>
            </w:pPr>
            <w:r w:rsidRPr="00C71464">
              <w:rPr>
                <w:rFonts w:ascii="Times New Roman" w:hAnsi="Times New Roman"/>
                <w:sz w:val="22"/>
                <w:szCs w:val="22"/>
              </w:rPr>
              <w:t>1</w:t>
            </w:r>
            <w:r w:rsidR="001600B1">
              <w:rPr>
                <w:rFonts w:ascii="Times New Roman" w:hAnsi="Times New Roman"/>
                <w:sz w:val="22"/>
                <w:szCs w:val="22"/>
              </w:rPr>
              <w:t>8</w:t>
            </w:r>
            <w:r w:rsidRPr="00C71464">
              <w:rPr>
                <w:rFonts w:ascii="Times New Roman" w:hAnsi="Times New Roman"/>
                <w:sz w:val="22"/>
                <w:szCs w:val="22"/>
              </w:rPr>
              <w:t>71</w:t>
            </w:r>
          </w:p>
        </w:tc>
      </w:tr>
      <w:tr>
        <w:tblPrEx>
          <w:tblW w:w="9180" w:type="dxa"/>
          <w:tblInd w:w="120" w:type="dxa"/>
          <w:tblLayout w:type="fixed"/>
          <w:tblCellMar>
            <w:left w:w="120" w:type="dxa"/>
            <w:right w:w="120" w:type="dxa"/>
          </w:tblCellMar>
          <w:tblLook w:val="0000"/>
        </w:tblPrEx>
        <w:tc>
          <w:tcPr>
            <w:tcW w:w="3960" w:type="dxa"/>
            <w:tcBorders>
              <w:top w:val="single" w:sz="6" w:space="0" w:color="auto"/>
              <w:left w:val="double" w:sz="6" w:space="0" w:color="auto"/>
              <w:bottom w:val="single" w:sz="6" w:space="0" w:color="auto"/>
            </w:tcBorders>
          </w:tcPr>
          <w:p w:rsidR="00B721A5" w:rsidRPr="00C71464">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CARS License</w:t>
            </w:r>
          </w:p>
        </w:tc>
        <w:tc>
          <w:tcPr>
            <w:tcW w:w="2700" w:type="dxa"/>
            <w:tcBorders>
              <w:top w:val="single" w:sz="6" w:space="0" w:color="auto"/>
              <w:left w:val="single" w:sz="6" w:space="0" w:color="auto"/>
              <w:bottom w:val="single" w:sz="6" w:space="0" w:color="auto"/>
            </w:tcBorders>
          </w:tcPr>
          <w:p w:rsidR="00B721A5" w:rsidRPr="00C71464" w:rsidP="00FB54AC">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w:t>
            </w:r>
            <w:r w:rsidR="001600B1">
              <w:rPr>
                <w:rFonts w:ascii="Times New Roman" w:hAnsi="Times New Roman"/>
                <w:sz w:val="22"/>
                <w:szCs w:val="22"/>
              </w:rPr>
              <w:t>1,075</w:t>
            </w:r>
            <w:r w:rsidRPr="00C71464">
              <w:rPr>
                <w:rFonts w:ascii="Times New Roman" w:hAnsi="Times New Roman"/>
                <w:sz w:val="22"/>
                <w:szCs w:val="22"/>
              </w:rPr>
              <w:t xml:space="preserve"> per license</w:t>
            </w:r>
          </w:p>
        </w:tc>
        <w:tc>
          <w:tcPr>
            <w:tcW w:w="2520" w:type="dxa"/>
            <w:tcBorders>
              <w:top w:val="single" w:sz="6" w:space="0" w:color="auto"/>
              <w:left w:val="single" w:sz="6" w:space="0" w:color="auto"/>
              <w:bottom w:val="single" w:sz="6" w:space="0" w:color="auto"/>
              <w:right w:val="double" w:sz="6" w:space="0" w:color="auto"/>
            </w:tcBorders>
          </w:tcPr>
          <w:p w:rsidR="00B721A5" w:rsidRPr="00C71464" w:rsidP="00FB54AC">
            <w:pPr>
              <w:tabs>
                <w:tab w:val="center" w:pos="1311"/>
              </w:tabs>
              <w:suppressAutoHyphens/>
              <w:spacing w:before="90" w:after="54"/>
              <w:jc w:val="center"/>
              <w:rPr>
                <w:rFonts w:ascii="Times New Roman" w:hAnsi="Times New Roman"/>
                <w:sz w:val="22"/>
                <w:szCs w:val="22"/>
              </w:rPr>
            </w:pPr>
            <w:r w:rsidRPr="00C71464">
              <w:rPr>
                <w:rFonts w:ascii="Times New Roman" w:hAnsi="Times New Roman"/>
                <w:sz w:val="22"/>
                <w:szCs w:val="22"/>
              </w:rPr>
              <w:t>1</w:t>
            </w:r>
            <w:r w:rsidR="001600B1">
              <w:rPr>
                <w:rFonts w:ascii="Times New Roman" w:hAnsi="Times New Roman"/>
                <w:sz w:val="22"/>
                <w:szCs w:val="22"/>
              </w:rPr>
              <w:t>8</w:t>
            </w:r>
            <w:r w:rsidRPr="00C71464">
              <w:rPr>
                <w:rFonts w:ascii="Times New Roman" w:hAnsi="Times New Roman"/>
                <w:sz w:val="22"/>
                <w:szCs w:val="22"/>
              </w:rPr>
              <w:t>70</w:t>
            </w:r>
          </w:p>
        </w:tc>
      </w:tr>
      <w:tr>
        <w:tblPrEx>
          <w:tblW w:w="9180" w:type="dxa"/>
          <w:tblInd w:w="120" w:type="dxa"/>
          <w:tblLayout w:type="fixed"/>
          <w:tblCellMar>
            <w:left w:w="120" w:type="dxa"/>
            <w:right w:w="120" w:type="dxa"/>
          </w:tblCellMar>
          <w:tblLook w:val="0000"/>
        </w:tblPrEx>
        <w:tc>
          <w:tcPr>
            <w:tcW w:w="3960" w:type="dxa"/>
            <w:tcBorders>
              <w:top w:val="single" w:sz="6" w:space="0" w:color="auto"/>
              <w:left w:val="double" w:sz="6" w:space="0" w:color="auto"/>
              <w:bottom w:val="double" w:sz="4" w:space="0" w:color="auto"/>
            </w:tcBorders>
          </w:tcPr>
          <w:p w:rsidR="00B721A5" w:rsidRPr="00C71464">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Direct Broadcast Satellite (DBS)</w:t>
            </w:r>
          </w:p>
        </w:tc>
        <w:tc>
          <w:tcPr>
            <w:tcW w:w="2700" w:type="dxa"/>
            <w:tcBorders>
              <w:top w:val="single" w:sz="6" w:space="0" w:color="auto"/>
              <w:left w:val="single" w:sz="6" w:space="0" w:color="auto"/>
              <w:bottom w:val="double" w:sz="4" w:space="0" w:color="auto"/>
            </w:tcBorders>
          </w:tcPr>
          <w:p w:rsidR="00B721A5" w:rsidRPr="00C71464" w:rsidP="00FB54AC">
            <w:pPr>
              <w:tabs>
                <w:tab w:val="left" w:pos="-720"/>
              </w:tabs>
              <w:suppressAutoHyphens/>
              <w:spacing w:before="90" w:after="54"/>
              <w:rPr>
                <w:rFonts w:ascii="Times New Roman" w:hAnsi="Times New Roman"/>
                <w:sz w:val="22"/>
                <w:szCs w:val="22"/>
              </w:rPr>
            </w:pPr>
            <w:r w:rsidRPr="00C71464">
              <w:rPr>
                <w:rFonts w:ascii="Times New Roman" w:hAnsi="Times New Roman"/>
                <w:sz w:val="22"/>
                <w:szCs w:val="22"/>
              </w:rPr>
              <w:t>$0.</w:t>
            </w:r>
            <w:r w:rsidR="001600B1">
              <w:rPr>
                <w:rFonts w:ascii="Times New Roman" w:hAnsi="Times New Roman"/>
                <w:sz w:val="22"/>
                <w:szCs w:val="22"/>
              </w:rPr>
              <w:t>4</w:t>
            </w:r>
            <w:r w:rsidR="00FB54AC">
              <w:rPr>
                <w:rFonts w:ascii="Times New Roman" w:hAnsi="Times New Roman"/>
                <w:sz w:val="22"/>
                <w:szCs w:val="22"/>
              </w:rPr>
              <w:t>8</w:t>
            </w:r>
            <w:r w:rsidRPr="00C71464">
              <w:rPr>
                <w:rFonts w:ascii="Times New Roman" w:hAnsi="Times New Roman"/>
                <w:sz w:val="22"/>
                <w:szCs w:val="22"/>
              </w:rPr>
              <w:t xml:space="preserve"> per subscriber</w:t>
            </w:r>
          </w:p>
        </w:tc>
        <w:tc>
          <w:tcPr>
            <w:tcW w:w="2520" w:type="dxa"/>
            <w:tcBorders>
              <w:top w:val="single" w:sz="6" w:space="0" w:color="auto"/>
              <w:left w:val="single" w:sz="6" w:space="0" w:color="auto"/>
              <w:bottom w:val="double" w:sz="4" w:space="0" w:color="auto"/>
              <w:right w:val="double" w:sz="6" w:space="0" w:color="auto"/>
            </w:tcBorders>
          </w:tcPr>
          <w:p w:rsidR="00B721A5" w:rsidRPr="00C71464" w:rsidP="00FB54AC">
            <w:pPr>
              <w:tabs>
                <w:tab w:val="center" w:pos="1311"/>
              </w:tabs>
              <w:suppressAutoHyphens/>
              <w:spacing w:before="90" w:after="54"/>
              <w:jc w:val="center"/>
              <w:rPr>
                <w:rFonts w:ascii="Times New Roman" w:hAnsi="Times New Roman"/>
                <w:sz w:val="22"/>
                <w:szCs w:val="22"/>
              </w:rPr>
            </w:pPr>
            <w:r w:rsidRPr="00C71464">
              <w:rPr>
                <w:rFonts w:ascii="Times New Roman" w:hAnsi="Times New Roman"/>
                <w:sz w:val="22"/>
                <w:szCs w:val="22"/>
              </w:rPr>
              <w:t>1</w:t>
            </w:r>
            <w:r w:rsidR="001600B1">
              <w:rPr>
                <w:rFonts w:ascii="Times New Roman" w:hAnsi="Times New Roman"/>
                <w:sz w:val="22"/>
                <w:szCs w:val="22"/>
              </w:rPr>
              <w:t>8</w:t>
            </w:r>
            <w:r w:rsidRPr="00C71464">
              <w:rPr>
                <w:rFonts w:ascii="Times New Roman" w:hAnsi="Times New Roman"/>
                <w:sz w:val="22"/>
                <w:szCs w:val="22"/>
              </w:rPr>
              <w:t>92</w:t>
            </w:r>
          </w:p>
        </w:tc>
      </w:tr>
    </w:tbl>
    <w:p w:rsidR="00B721A5" w:rsidRPr="00C71464">
      <w:pPr>
        <w:tabs>
          <w:tab w:val="left" w:pos="-720"/>
        </w:tabs>
        <w:suppressAutoHyphens/>
        <w:jc w:val="center"/>
        <w:outlineLvl w:val="0"/>
        <w:rPr>
          <w:rFonts w:ascii="Times New Roman" w:hAnsi="Times New Roman"/>
          <w:b/>
          <w:sz w:val="22"/>
          <w:szCs w:val="22"/>
        </w:rPr>
      </w:pPr>
    </w:p>
    <w:p w:rsidR="00B721A5" w:rsidRPr="00C71464" w:rsidP="00B721A5">
      <w:pPr>
        <w:pStyle w:val="ParaNum0"/>
        <w:numPr>
          <w:ilvl w:val="0"/>
          <w:numId w:val="0"/>
        </w:numPr>
        <w:jc w:val="center"/>
        <w:rPr>
          <w:b/>
          <w:szCs w:val="22"/>
        </w:rPr>
      </w:pPr>
      <w:r w:rsidRPr="00C71464">
        <w:rPr>
          <w:b/>
          <w:szCs w:val="22"/>
        </w:rPr>
        <w:t>MANDATORY USE OF FEE FILER</w:t>
      </w:r>
    </w:p>
    <w:p w:rsidR="00B721A5" w:rsidP="00B721A5">
      <w:pPr>
        <w:tabs>
          <w:tab w:val="left" w:pos="-720"/>
        </w:tabs>
        <w:suppressAutoHyphens/>
        <w:outlineLvl w:val="0"/>
        <w:rPr>
          <w:sz w:val="22"/>
          <w:szCs w:val="22"/>
        </w:rPr>
      </w:pPr>
      <w:r w:rsidRPr="003D572A">
        <w:rPr>
          <w:rFonts w:ascii="Times New Roman" w:hAnsi="Times New Roman"/>
          <w:sz w:val="22"/>
          <w:szCs w:val="22"/>
        </w:rPr>
        <w:t xml:space="preserve">The use of the online Fee Filer system for filing regulatory fees has not changed since the process was first initiated in FY 2009:  licensees and </w:t>
      </w:r>
      <w:r w:rsidRPr="003D572A">
        <w:rPr>
          <w:rFonts w:ascii="Times New Roman" w:hAnsi="Times New Roman"/>
          <w:sz w:val="22"/>
          <w:szCs w:val="22"/>
        </w:rPr>
        <w:t>regulatees</w:t>
      </w:r>
      <w:r w:rsidRPr="003D572A">
        <w:rPr>
          <w:rFonts w:ascii="Times New Roman" w:hAnsi="Times New Roman"/>
          <w:sz w:val="22"/>
          <w:szCs w:val="22"/>
        </w:rPr>
        <w:t xml:space="preserve"> must first enter the Commission’s Fee Filer system with a valid FRN and password, and follow the online prompts to review their data and submit an electronic fee payment.</w:t>
      </w:r>
      <w:r w:rsidRPr="003D572A">
        <w:rPr>
          <w:rFonts w:ascii="Times New Roman" w:hAnsi="Times New Roman"/>
          <w:iCs/>
          <w:sz w:val="22"/>
          <w:szCs w:val="22"/>
        </w:rPr>
        <w:t xml:space="preserve">  </w:t>
      </w:r>
      <w:r w:rsidRPr="003D572A">
        <w:rPr>
          <w:rFonts w:ascii="Times New Roman" w:hAnsi="Times New Roman"/>
          <w:sz w:val="22"/>
          <w:szCs w:val="22"/>
        </w:rPr>
        <w:t xml:space="preserve">Use of the online Fee Filer system is mandatory, and </w:t>
      </w:r>
      <w:r w:rsidRPr="003D572A">
        <w:rPr>
          <w:rFonts w:ascii="Times New Roman" w:hAnsi="Times New Roman"/>
          <w:b/>
          <w:sz w:val="22"/>
          <w:szCs w:val="22"/>
        </w:rPr>
        <w:t xml:space="preserve">payments in the form of checks, money orders, and cashier’s checks </w:t>
      </w:r>
      <w:r w:rsidR="00F37012">
        <w:rPr>
          <w:rFonts w:ascii="Times New Roman" w:hAnsi="Times New Roman"/>
          <w:b/>
          <w:sz w:val="22"/>
          <w:szCs w:val="22"/>
          <w:u w:val="single"/>
        </w:rPr>
        <w:t xml:space="preserve">will not be </w:t>
      </w:r>
      <w:r w:rsidRPr="003D572A">
        <w:rPr>
          <w:rFonts w:ascii="Times New Roman" w:hAnsi="Times New Roman"/>
          <w:b/>
          <w:sz w:val="22"/>
          <w:szCs w:val="22"/>
          <w:u w:val="single"/>
        </w:rPr>
        <w:t>accepted</w:t>
      </w:r>
      <w:r w:rsidRPr="003D572A">
        <w:rPr>
          <w:rFonts w:ascii="Times New Roman" w:hAnsi="Times New Roman"/>
          <w:sz w:val="22"/>
          <w:szCs w:val="22"/>
        </w:rPr>
        <w:t xml:space="preserve">. </w:t>
      </w:r>
      <w:r>
        <w:rPr>
          <w:rStyle w:val="FootnoteReference"/>
          <w:rFonts w:ascii="Times New Roman" w:hAnsi="Times New Roman"/>
          <w:sz w:val="22"/>
          <w:szCs w:val="22"/>
        </w:rPr>
        <w:footnoteReference w:id="7"/>
      </w:r>
      <w:r w:rsidRPr="003D572A">
        <w:rPr>
          <w:rFonts w:ascii="Times New Roman" w:hAnsi="Times New Roman"/>
          <w:sz w:val="22"/>
          <w:szCs w:val="22"/>
        </w:rPr>
        <w:t xml:space="preserve">  </w:t>
      </w:r>
      <w:r>
        <w:rPr>
          <w:rFonts w:ascii="Times New Roman" w:hAnsi="Times New Roman"/>
          <w:sz w:val="22"/>
          <w:szCs w:val="22"/>
        </w:rPr>
        <w:t>In making a wire transfer, please fax the “</w:t>
      </w:r>
      <w:r w:rsidRPr="009F1F95">
        <w:rPr>
          <w:sz w:val="22"/>
          <w:szCs w:val="22"/>
          <w:u w:val="single"/>
        </w:rPr>
        <w:t>Wire Transfer Instructions”</w:t>
      </w:r>
      <w:r w:rsidRPr="009F1F95">
        <w:rPr>
          <w:sz w:val="22"/>
          <w:szCs w:val="22"/>
        </w:rPr>
        <w:t xml:space="preserve"> from Fee Filer to the Federal Communications Commission at (202) 418-2843 at least one hour before initiating the wire transfer</w:t>
      </w:r>
      <w:r w:rsidRPr="00771831">
        <w:rPr>
          <w:b/>
          <w:sz w:val="22"/>
          <w:szCs w:val="22"/>
        </w:rPr>
        <w:t xml:space="preserve"> (but on the same business day) so as not to delay crediting their account.</w:t>
      </w:r>
      <w:r>
        <w:rPr>
          <w:b/>
          <w:sz w:val="22"/>
          <w:szCs w:val="22"/>
        </w:rPr>
        <w:t xml:space="preserve">  These Wire Transfer Instructions contain valuable information (e.g. FRN, Voucher Number, Payer Name, and the Amount of the Wire) that will help to post the payment more quickly, and avoid costly delays that could result in penalties and interest for missing the payment due date.  </w:t>
      </w:r>
      <w:r w:rsidRPr="00771831">
        <w:rPr>
          <w:sz w:val="22"/>
          <w:szCs w:val="22"/>
        </w:rPr>
        <w:t>Please note that most wire transfers initiated after 6:00 p.m. (EDT) will be credited the next business day.</w:t>
      </w:r>
    </w:p>
    <w:p w:rsidR="00E7634A" w:rsidP="00B721A5">
      <w:pPr>
        <w:tabs>
          <w:tab w:val="left" w:pos="-720"/>
        </w:tabs>
        <w:suppressAutoHyphens/>
        <w:outlineLvl w:val="0"/>
        <w:rPr>
          <w:rFonts w:ascii="Times New Roman" w:hAnsi="Times New Roman"/>
          <w:sz w:val="22"/>
          <w:szCs w:val="22"/>
        </w:rPr>
      </w:pPr>
    </w:p>
    <w:p w:rsidR="003B2FDE" w:rsidRPr="0065747B" w:rsidP="0065747B">
      <w:pPr>
        <w:pStyle w:val="header2"/>
        <w:tabs>
          <w:tab w:val="clear" w:pos="1440"/>
          <w:tab w:val="clear" w:pos="4320"/>
          <w:tab w:val="center" w:pos="4680"/>
          <w:tab w:val="clear" w:pos="8640"/>
        </w:tabs>
        <w:jc w:val="left"/>
        <w:rPr>
          <w:b w:val="0"/>
          <w:sz w:val="22"/>
          <w:szCs w:val="22"/>
        </w:rPr>
      </w:pPr>
      <w:r w:rsidRPr="00241AE6">
        <w:rPr>
          <w:bCs/>
          <w:sz w:val="22"/>
          <w:szCs w:val="22"/>
        </w:rPr>
        <w:t>PLEASE NOTE</w:t>
      </w:r>
      <w:r w:rsidRPr="00241AE6">
        <w:rPr>
          <w:sz w:val="22"/>
          <w:szCs w:val="22"/>
        </w:rPr>
        <w:t xml:space="preserve">: </w:t>
      </w:r>
      <w:r w:rsidRPr="00241AE6">
        <w:rPr>
          <w:b w:val="0"/>
          <w:sz w:val="22"/>
          <w:szCs w:val="22"/>
        </w:rPr>
        <w:t xml:space="preserve">As a reminder, all Regulatory Fees </w:t>
      </w:r>
      <w:r w:rsidRPr="00241AE6">
        <w:rPr>
          <w:b w:val="0"/>
          <w:bCs/>
          <w:sz w:val="22"/>
          <w:szCs w:val="22"/>
        </w:rPr>
        <w:t>MUST be filed</w:t>
      </w:r>
      <w:r w:rsidRPr="00241AE6">
        <w:rPr>
          <w:b w:val="0"/>
          <w:sz w:val="22"/>
          <w:szCs w:val="22"/>
        </w:rPr>
        <w:t xml:space="preserve">, submitted and paid </w:t>
      </w:r>
      <w:r w:rsidRPr="00241AE6">
        <w:rPr>
          <w:b w:val="0"/>
          <w:sz w:val="22"/>
          <w:szCs w:val="22"/>
          <w:u w:val="single"/>
        </w:rPr>
        <w:t>through the Fee Filer</w:t>
      </w:r>
      <w:r w:rsidRPr="00241AE6">
        <w:rPr>
          <w:b w:val="0"/>
          <w:sz w:val="22"/>
          <w:szCs w:val="22"/>
        </w:rPr>
        <w:t xml:space="preserve"> </w:t>
      </w:r>
      <w:r w:rsidRPr="00241AE6">
        <w:rPr>
          <w:b w:val="0"/>
          <w:sz w:val="22"/>
          <w:szCs w:val="22"/>
          <w:u w:val="single"/>
        </w:rPr>
        <w:t>System</w:t>
      </w:r>
      <w:r>
        <w:rPr>
          <w:b w:val="0"/>
          <w:sz w:val="22"/>
          <w:szCs w:val="22"/>
        </w:rPr>
        <w:t>.</w:t>
      </w:r>
      <w:r w:rsidRPr="00241AE6">
        <w:rPr>
          <w:b w:val="0"/>
          <w:sz w:val="22"/>
          <w:szCs w:val="22"/>
        </w:rPr>
        <w:t xml:space="preserve"> </w:t>
      </w:r>
      <w:r>
        <w:rPr>
          <w:b w:val="0"/>
          <w:sz w:val="22"/>
          <w:szCs w:val="22"/>
        </w:rPr>
        <w:t xml:space="preserve"> </w:t>
      </w:r>
      <w:r w:rsidRPr="00241AE6">
        <w:rPr>
          <w:b w:val="0"/>
          <w:sz w:val="22"/>
          <w:szCs w:val="22"/>
        </w:rPr>
        <w:t>If yo</w:t>
      </w:r>
      <w:r>
        <w:rPr>
          <w:b w:val="0"/>
          <w:sz w:val="22"/>
          <w:szCs w:val="22"/>
        </w:rPr>
        <w:t>u have any questions</w:t>
      </w:r>
      <w:r w:rsidRPr="00241AE6">
        <w:rPr>
          <w:b w:val="0"/>
          <w:sz w:val="22"/>
          <w:szCs w:val="22"/>
        </w:rPr>
        <w:t>, pleas</w:t>
      </w:r>
      <w:r>
        <w:rPr>
          <w:b w:val="0"/>
          <w:sz w:val="22"/>
          <w:szCs w:val="22"/>
        </w:rPr>
        <w:t>e contact 877-480-3201, Option 6</w:t>
      </w:r>
      <w:r w:rsidRPr="00241AE6">
        <w:rPr>
          <w:b w:val="0"/>
          <w:sz w:val="22"/>
          <w:szCs w:val="22"/>
        </w:rPr>
        <w:t xml:space="preserve">.  </w:t>
      </w:r>
      <w:r>
        <w:rPr>
          <w:b w:val="0"/>
          <w:sz w:val="22"/>
          <w:szCs w:val="22"/>
        </w:rPr>
        <w:t xml:space="preserve">Not submitting the wire transfer through Fee Filer will delay the posting of your payment, which in some instances, has caused a demand letter to be mailed out until the wire transfer payment is sorted out.  In addition, we are also </w:t>
      </w:r>
      <w:r w:rsidRPr="00241AE6">
        <w:rPr>
          <w:b w:val="0"/>
          <w:sz w:val="22"/>
          <w:szCs w:val="22"/>
        </w:rPr>
        <w:t xml:space="preserve">urging </w:t>
      </w:r>
      <w:r w:rsidRPr="00241AE6">
        <w:rPr>
          <w:b w:val="0"/>
          <w:sz w:val="22"/>
          <w:szCs w:val="22"/>
        </w:rPr>
        <w:t xml:space="preserve">all entities who send </w:t>
      </w:r>
      <w:r>
        <w:rPr>
          <w:b w:val="0"/>
          <w:sz w:val="22"/>
          <w:szCs w:val="22"/>
        </w:rPr>
        <w:t xml:space="preserve">wire transfer </w:t>
      </w:r>
      <w:r w:rsidRPr="00241AE6">
        <w:rPr>
          <w:b w:val="0"/>
          <w:sz w:val="22"/>
          <w:szCs w:val="22"/>
        </w:rPr>
        <w:t>payments to include the Voucher Number, Payer Name, and Payer FRN on the wire remittance</w:t>
      </w:r>
      <w:r>
        <w:rPr>
          <w:b w:val="0"/>
          <w:sz w:val="22"/>
          <w:szCs w:val="22"/>
        </w:rPr>
        <w:t>.</w:t>
      </w:r>
    </w:p>
    <w:p w:rsidR="003B2FDE" w:rsidRPr="00C71464" w:rsidP="00B721A5">
      <w:pPr>
        <w:tabs>
          <w:tab w:val="left" w:pos="-720"/>
        </w:tabs>
        <w:suppressAutoHyphens/>
        <w:outlineLvl w:val="0"/>
        <w:rPr>
          <w:rFonts w:ascii="Times New Roman" w:hAnsi="Times New Roman"/>
          <w:sz w:val="22"/>
          <w:szCs w:val="22"/>
        </w:rPr>
      </w:pPr>
    </w:p>
    <w:p w:rsidR="00B721A5" w:rsidRPr="00C71464" w:rsidP="00B721A5">
      <w:pPr>
        <w:tabs>
          <w:tab w:val="left" w:pos="-720"/>
        </w:tabs>
        <w:suppressAutoHyphens/>
        <w:jc w:val="center"/>
        <w:outlineLvl w:val="0"/>
        <w:rPr>
          <w:rFonts w:ascii="Times New Roman" w:hAnsi="Times New Roman"/>
          <w:b/>
          <w:sz w:val="22"/>
          <w:szCs w:val="22"/>
        </w:rPr>
      </w:pPr>
      <w:r w:rsidRPr="00C71464">
        <w:rPr>
          <w:rFonts w:ascii="Times New Roman" w:hAnsi="Times New Roman"/>
          <w:b/>
          <w:sz w:val="22"/>
          <w:szCs w:val="22"/>
        </w:rPr>
        <w:t>LIMITATIONS ON CREDIT CARD TRANSACTIONS</w:t>
      </w:r>
    </w:p>
    <w:p w:rsidR="00B721A5" w:rsidRPr="00C71464" w:rsidP="00B721A5">
      <w:pPr>
        <w:tabs>
          <w:tab w:val="left" w:pos="-720"/>
        </w:tabs>
        <w:suppressAutoHyphens/>
        <w:jc w:val="center"/>
        <w:outlineLvl w:val="0"/>
        <w:rPr>
          <w:rFonts w:ascii="Times New Roman" w:hAnsi="Times New Roman"/>
          <w:b/>
          <w:sz w:val="22"/>
          <w:szCs w:val="22"/>
        </w:rPr>
      </w:pPr>
    </w:p>
    <w:p w:rsidR="00B721A5" w:rsidRPr="00C71464" w:rsidP="00B721A5">
      <w:pPr>
        <w:ind w:right="758"/>
        <w:rPr>
          <w:rFonts w:ascii="Times New Roman" w:hAnsi="Times New Roman"/>
          <w:sz w:val="22"/>
          <w:szCs w:val="22"/>
        </w:rPr>
      </w:pPr>
      <w:r w:rsidRPr="00C71464">
        <w:rPr>
          <w:rFonts w:ascii="Times New Roman" w:hAnsi="Times New Roman"/>
          <w:sz w:val="22"/>
        </w:rPr>
        <w:t>In accordance with U.S. Treasury Announcement No. A-2014-04 (July 2014), the amount that can be charged on a credit card for transactions with federal agencies has been reduced to $24,999.99.</w:t>
      </w:r>
      <w:r>
        <w:rPr>
          <w:rStyle w:val="FootnoteReference"/>
          <w:rFonts w:ascii="Times New Roman" w:hAnsi="Times New Roman"/>
          <w:sz w:val="22"/>
        </w:rPr>
        <w:footnoteReference w:id="8"/>
      </w:r>
      <w:r w:rsidRPr="00C71464">
        <w:rPr>
          <w:rFonts w:ascii="Times New Roman" w:hAnsi="Times New Roman"/>
          <w:sz w:val="22"/>
        </w:rPr>
        <w:t xml:space="preserve">  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003D0F4F">
        <w:rPr>
          <w:rFonts w:ascii="Times New Roman" w:hAnsi="Times New Roman"/>
          <w:sz w:val="22"/>
        </w:rPr>
        <w:t>8</w:t>
      </w:r>
      <w:r w:rsidRPr="00C71464">
        <w:rPr>
          <w:rFonts w:ascii="Times New Roman" w:hAnsi="Times New Roman"/>
          <w:sz w:val="22"/>
        </w:rPr>
        <w:t xml:space="preserve"> regulatory fee collection</w:t>
      </w:r>
      <w:r w:rsidRPr="00C71464">
        <w:rPr>
          <w:rFonts w:ascii="Times New Roman" w:hAnsi="Times New Roman"/>
          <w:color w:val="1F497D"/>
          <w:sz w:val="22"/>
        </w:rPr>
        <w:t xml:space="preserve"> </w:t>
      </w:r>
      <w:r w:rsidRPr="00451F23">
        <w:rPr>
          <w:rFonts w:ascii="Times New Roman" w:hAnsi="Times New Roman"/>
          <w:sz w:val="22"/>
        </w:rPr>
        <w:t>in Fact Sheets, available at</w:t>
      </w:r>
      <w:r w:rsidRPr="00C71464">
        <w:rPr>
          <w:rFonts w:ascii="Times New Roman" w:hAnsi="Times New Roman"/>
          <w:color w:val="1F497D"/>
          <w:sz w:val="22"/>
        </w:rPr>
        <w:t xml:space="preserve"> </w:t>
      </w:r>
      <w:r>
        <w:fldChar w:fldCharType="begin"/>
      </w:r>
      <w:r>
        <w:instrText xml:space="preserve"> HYPERLINK "https://www.fcc.gov/regfees" </w:instrText>
      </w:r>
      <w:r>
        <w:fldChar w:fldCharType="separate"/>
      </w:r>
      <w:r w:rsidRPr="00C71464">
        <w:rPr>
          <w:rStyle w:val="Hyperlink"/>
          <w:rFonts w:ascii="Times New Roman" w:hAnsi="Times New Roman"/>
          <w:sz w:val="22"/>
        </w:rPr>
        <w:t>https://www.fcc.gov/regfees</w:t>
      </w:r>
      <w:r>
        <w:fldChar w:fldCharType="end"/>
      </w:r>
      <w:r w:rsidRPr="00C71464">
        <w:rPr>
          <w:rFonts w:ascii="Times New Roman" w:hAnsi="Times New Roman"/>
          <w:color w:val="1F497D"/>
          <w:sz w:val="22"/>
          <w:u w:val="single"/>
        </w:rPr>
        <w:t>.</w:t>
      </w:r>
    </w:p>
    <w:p w:rsidR="00B721A5" w:rsidRPr="00C71464" w:rsidP="00B721A5">
      <w:pPr>
        <w:ind w:right="758"/>
        <w:rPr>
          <w:rFonts w:ascii="Times New Roman" w:hAnsi="Times New Roman"/>
          <w:sz w:val="22"/>
          <w:szCs w:val="22"/>
        </w:rPr>
      </w:pPr>
    </w:p>
    <w:p w:rsidR="00B721A5" w:rsidRPr="00C71464" w:rsidP="00B721A5">
      <w:pPr>
        <w:ind w:right="758"/>
        <w:rPr>
          <w:rFonts w:ascii="Times New Roman" w:hAnsi="Times New Roman"/>
          <w:sz w:val="22"/>
          <w:szCs w:val="22"/>
        </w:rPr>
      </w:pPr>
      <w:r w:rsidRPr="00C71464">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B721A5" w:rsidRPr="00C71464" w:rsidP="00B721A5">
      <w:pPr>
        <w:ind w:right="758"/>
        <w:rPr>
          <w:rFonts w:ascii="Times New Roman" w:hAnsi="Times New Roman"/>
          <w:sz w:val="22"/>
          <w:szCs w:val="22"/>
        </w:rPr>
      </w:pPr>
    </w:p>
    <w:p w:rsidR="00B721A5" w:rsidRPr="00C71464" w:rsidP="00B721A5">
      <w:pPr>
        <w:pStyle w:val="Heading3"/>
        <w:numPr>
          <w:ilvl w:val="0"/>
          <w:numId w:val="0"/>
        </w:numPr>
        <w:tabs>
          <w:tab w:val="left" w:pos="2160"/>
        </w:tabs>
        <w:spacing w:after="120"/>
        <w:jc w:val="center"/>
        <w:rPr>
          <w:rFonts w:ascii="Times New Roman" w:hAnsi="Times New Roman"/>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C71464">
        <w:rPr>
          <w:rFonts w:ascii="Times New Roman" w:hAnsi="Times New Roman"/>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71464">
        <w:rPr>
          <w:rFonts w:ascii="Times New Roman" w:hAnsi="Times New Roman"/>
          <w:szCs w:val="22"/>
        </w:rPr>
        <w:t>EGULATORY FEE LEVEL</w:t>
      </w:r>
    </w:p>
    <w:p w:rsidR="00B721A5" w:rsidRPr="00C71464" w:rsidP="00B721A5">
      <w:pPr>
        <w:ind w:right="758"/>
        <w:rPr>
          <w:rFonts w:ascii="Times New Roman" w:hAnsi="Times New Roman"/>
          <w:sz w:val="22"/>
        </w:rPr>
      </w:pPr>
      <w:r w:rsidRPr="00C71464">
        <w:rPr>
          <w:rFonts w:ascii="Times New Roman" w:hAnsi="Times New Roman"/>
          <w:sz w:val="22"/>
        </w:rPr>
        <w:t>Regulatees</w:t>
      </w:r>
      <w:r w:rsidRPr="00C71464">
        <w:rPr>
          <w:rFonts w:ascii="Times New Roman" w:hAnsi="Times New Roman"/>
          <w:sz w:val="22"/>
        </w:rPr>
        <w:t xml:space="preserve"> whose total FY 201</w:t>
      </w:r>
      <w:r w:rsidR="003D0F4F">
        <w:rPr>
          <w:rFonts w:ascii="Times New Roman" w:hAnsi="Times New Roman"/>
          <w:sz w:val="22"/>
        </w:rPr>
        <w:t>8</w:t>
      </w:r>
      <w:r w:rsidRPr="00C71464">
        <w:rPr>
          <w:rFonts w:ascii="Times New Roman" w:hAnsi="Times New Roman"/>
          <w:sz w:val="22"/>
        </w:rPr>
        <w:t xml:space="preserve"> annual regulatory fee liability, including all categories of fees for which payment is due, is $</w:t>
      </w:r>
      <w:r w:rsidR="00FB54AC">
        <w:rPr>
          <w:rFonts w:ascii="Times New Roman" w:hAnsi="Times New Roman"/>
          <w:sz w:val="22"/>
        </w:rPr>
        <w:t>1,0</w:t>
      </w:r>
      <w:r w:rsidRPr="00C71464">
        <w:rPr>
          <w:rFonts w:ascii="Times New Roman" w:hAnsi="Times New Roman"/>
          <w:sz w:val="22"/>
        </w:rPr>
        <w:t>00 or less are exempt from payment of FY 201</w:t>
      </w:r>
      <w:r w:rsidR="003D0F4F">
        <w:rPr>
          <w:rFonts w:ascii="Times New Roman" w:hAnsi="Times New Roman"/>
          <w:sz w:val="22"/>
        </w:rPr>
        <w:t>8</w:t>
      </w:r>
      <w:r w:rsidRPr="00C71464">
        <w:rPr>
          <w:rFonts w:ascii="Times New Roman" w:hAnsi="Times New Roman"/>
          <w:sz w:val="22"/>
        </w:rPr>
        <w:t xml:space="preserve"> regulatory fees.  The </w:t>
      </w:r>
      <w:r w:rsidRPr="00C71464">
        <w:rPr>
          <w:rFonts w:ascii="Times New Roman" w:hAnsi="Times New Roman"/>
          <w:i/>
          <w:sz w:val="22"/>
        </w:rPr>
        <w:t xml:space="preserve">de </w:t>
      </w:r>
      <w:r w:rsidRPr="00C71464">
        <w:rPr>
          <w:rFonts w:ascii="Times New Roman" w:hAnsi="Times New Roman"/>
          <w:i/>
          <w:sz w:val="22"/>
        </w:rPr>
        <w:t>minimis</w:t>
      </w:r>
      <w:r w:rsidRPr="00C71464">
        <w:rPr>
          <w:rFonts w:ascii="Times New Roman" w:hAnsi="Times New Roman"/>
          <w:sz w:val="22"/>
        </w:rPr>
        <w:t xml:space="preserve"> threshold applies only to filers of </w:t>
      </w:r>
      <w:r w:rsidRPr="00FB54AC">
        <w:rPr>
          <w:rFonts w:ascii="Times New Roman" w:hAnsi="Times New Roman"/>
          <w:sz w:val="22"/>
          <w:u w:val="single"/>
        </w:rPr>
        <w:t>annual</w:t>
      </w:r>
      <w:r w:rsidRPr="00C71464">
        <w:rPr>
          <w:rFonts w:ascii="Times New Roman" w:hAnsi="Times New Roman"/>
          <w:sz w:val="22"/>
        </w:rPr>
        <w:t xml:space="preserve"> regulatory fees (not regulatory fees paid through multi-year filings), and it is not a permanent exemption.  Rather, each regulate will need to reevaluate their total fee liability each fiscal year to determine whether they meet the </w:t>
      </w:r>
      <w:r w:rsidRPr="00C71464">
        <w:rPr>
          <w:rFonts w:ascii="Times New Roman" w:hAnsi="Times New Roman"/>
          <w:i/>
          <w:sz w:val="22"/>
        </w:rPr>
        <w:t xml:space="preserve">de </w:t>
      </w:r>
      <w:r w:rsidRPr="00C71464">
        <w:rPr>
          <w:rFonts w:ascii="Times New Roman" w:hAnsi="Times New Roman"/>
          <w:i/>
          <w:sz w:val="22"/>
        </w:rPr>
        <w:t>minimis</w:t>
      </w:r>
      <w:r w:rsidRPr="00C71464">
        <w:rPr>
          <w:rFonts w:ascii="Times New Roman" w:hAnsi="Times New Roman"/>
          <w:sz w:val="22"/>
        </w:rPr>
        <w:t xml:space="preserve"> exemption. </w:t>
      </w:r>
      <w:r w:rsidRPr="00C71464">
        <w:rPr>
          <w:rFonts w:ascii="Times New Roman" w:hAnsi="Times New Roman"/>
          <w:sz w:val="22"/>
          <w:szCs w:val="24"/>
        </w:rPr>
        <w:t>R</w:t>
      </w:r>
      <w:r w:rsidRPr="00C71464">
        <w:rPr>
          <w:rFonts w:ascii="Times New Roman" w:hAnsi="Times New Roman"/>
          <w:spacing w:val="-3"/>
          <w:sz w:val="22"/>
          <w:szCs w:val="24"/>
        </w:rPr>
        <w:t>egulatees</w:t>
      </w:r>
      <w:r w:rsidRPr="00C71464">
        <w:rPr>
          <w:rFonts w:ascii="Times New Roman" w:hAnsi="Times New Roman"/>
          <w:spacing w:val="-3"/>
          <w:sz w:val="22"/>
          <w:szCs w:val="24"/>
        </w:rPr>
        <w:t xml:space="preserve"> are responsible for calculating their own total fee obligation to determine whether they qualify for this </w:t>
      </w:r>
      <w:r w:rsidRPr="00C71464">
        <w:rPr>
          <w:rFonts w:ascii="Times New Roman" w:hAnsi="Times New Roman"/>
          <w:i/>
          <w:spacing w:val="-3"/>
          <w:sz w:val="22"/>
          <w:szCs w:val="24"/>
        </w:rPr>
        <w:t xml:space="preserve">de </w:t>
      </w:r>
      <w:r w:rsidRPr="00C71464">
        <w:rPr>
          <w:rFonts w:ascii="Times New Roman" w:hAnsi="Times New Roman"/>
          <w:i/>
          <w:spacing w:val="-3"/>
          <w:sz w:val="22"/>
          <w:szCs w:val="24"/>
        </w:rPr>
        <w:t>minimis</w:t>
      </w:r>
      <w:r w:rsidRPr="00C71464">
        <w:rPr>
          <w:rFonts w:ascii="Times New Roman" w:hAnsi="Times New Roman"/>
          <w:spacing w:val="-3"/>
          <w:sz w:val="22"/>
          <w:szCs w:val="24"/>
        </w:rPr>
        <w:t xml:space="preserve"> exemption.  The Commission reserves the right to request documentation that supports a </w:t>
      </w:r>
      <w:r w:rsidRPr="00C71464">
        <w:rPr>
          <w:rFonts w:ascii="Times New Roman" w:hAnsi="Times New Roman"/>
          <w:i/>
          <w:spacing w:val="-3"/>
          <w:sz w:val="22"/>
          <w:szCs w:val="24"/>
        </w:rPr>
        <w:t xml:space="preserve">de </w:t>
      </w:r>
      <w:r w:rsidRPr="00C71464">
        <w:rPr>
          <w:rFonts w:ascii="Times New Roman" w:hAnsi="Times New Roman"/>
          <w:i/>
          <w:spacing w:val="-3"/>
          <w:sz w:val="22"/>
          <w:szCs w:val="24"/>
        </w:rPr>
        <w:t>minimis</w:t>
      </w:r>
      <w:r w:rsidRPr="00C71464">
        <w:rPr>
          <w:rFonts w:ascii="Times New Roman" w:hAnsi="Times New Roman"/>
          <w:spacing w:val="-3"/>
          <w:sz w:val="22"/>
          <w:szCs w:val="24"/>
        </w:rPr>
        <w:t xml:space="preserve"> exemption claim.</w:t>
      </w:r>
    </w:p>
    <w:p w:rsidR="00B721A5" w:rsidRPr="00C71464" w:rsidP="00B721A5">
      <w:pPr>
        <w:ind w:right="758"/>
        <w:rPr>
          <w:rFonts w:ascii="Times New Roman" w:hAnsi="Times New Roman"/>
          <w:sz w:val="22"/>
        </w:rPr>
      </w:pPr>
    </w:p>
    <w:p w:rsidR="00B721A5" w:rsidRPr="00C71464" w:rsidP="00B721A5">
      <w:pPr>
        <w:ind w:right="758"/>
        <w:rPr>
          <w:rFonts w:ascii="Times New Roman" w:hAnsi="Times New Roman"/>
          <w:sz w:val="22"/>
          <w:szCs w:val="22"/>
        </w:rPr>
      </w:pPr>
    </w:p>
    <w:p w:rsidR="00B721A5" w:rsidRPr="00D10A46">
      <w:pPr>
        <w:pStyle w:val="BodyTextIndent"/>
        <w:ind w:left="0"/>
        <w:jc w:val="center"/>
        <w:rPr>
          <w:sz w:val="22"/>
          <w:szCs w:val="22"/>
        </w:rPr>
      </w:pPr>
      <w:r w:rsidRPr="00D10A46">
        <w:rPr>
          <w:sz w:val="22"/>
          <w:szCs w:val="22"/>
        </w:rPr>
        <w:t>- FCC -</w:t>
      </w:r>
    </w:p>
    <w:sectPr>
      <w:footerReference w:type="even" r:id="rId5"/>
      <w:footerReference w:type="default" r:id="rId6"/>
      <w:headerReference w:type="first" r:id="rId7"/>
      <w:type w:val="continuous"/>
      <w:pgSz w:w="12240" w:h="15840" w:code="1"/>
      <w:pgMar w:top="1440" w:right="1152"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1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72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1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B72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1DB4">
      <w:r>
        <w:separator/>
      </w:r>
    </w:p>
  </w:footnote>
  <w:footnote w:type="continuationSeparator" w:id="1">
    <w:p w:rsidR="008A1DB4">
      <w:r>
        <w:continuationSeparator/>
      </w:r>
    </w:p>
  </w:footnote>
  <w:footnote w:id="2">
    <w:p w:rsidR="00B721A5" w:rsidP="001B7439">
      <w:pPr>
        <w:pStyle w:val="FootnoteText"/>
        <w:spacing w:after="120"/>
      </w:pPr>
      <w:r>
        <w:rPr>
          <w:rStyle w:val="FootnoteReference"/>
        </w:rPr>
        <w:footnoteRef/>
      </w:r>
      <w:r>
        <w:t xml:space="preserve"> The Commission has instituted a mandatory electronic payment policy, which means that licensees will </w:t>
      </w:r>
      <w:r w:rsidR="00F37012">
        <w:rPr>
          <w:lang w:val="en-US"/>
        </w:rPr>
        <w:t xml:space="preserve">not </w:t>
      </w:r>
      <w:r>
        <w:t>be able to make regulatory fee payments by check, money order, or cashier’s check.  Only credit card, ACH, and wire transfer payments will be accepted.  Please make sure that your electronic fee payment is made and the transaction is complete by the due date of FY 201</w:t>
      </w:r>
      <w:r w:rsidR="001600B1">
        <w:rPr>
          <w:lang w:val="en-US"/>
        </w:rPr>
        <w:t>8</w:t>
      </w:r>
      <w:r>
        <w:t xml:space="preserve"> regulatory fees.  </w:t>
      </w:r>
    </w:p>
  </w:footnote>
  <w:footnote w:id="3">
    <w:p w:rsidR="00B721A5" w:rsidP="001B7439">
      <w:pPr>
        <w:pStyle w:val="FootnoteText"/>
        <w:spacing w:after="120"/>
        <w:rPr>
          <w:rFonts w:ascii="Times" w:hAnsi="Times"/>
        </w:rPr>
      </w:pPr>
      <w:r>
        <w:rPr>
          <w:rStyle w:val="FootnoteReference"/>
          <w:rFonts w:ascii="Times" w:hAnsi="Times"/>
        </w:rPr>
        <w:footnoteRef/>
      </w:r>
      <w:r>
        <w:rPr>
          <w:rFonts w:ascii="Times" w:hAnsi="Times"/>
          <w:color w:val="000000"/>
        </w:rPr>
        <w:t xml:space="preserve"> Number of Subscribers in a Community Unit = Number of single family dwellings + Number of individual households in multiple dwelling units (e.g., apartments, condominiums, mobile home parks, etc.) paying at the basic subscriber rate + Number of bulk-rate customers + Number of courtesy and free service.  (NOTE:  Bulk-Rate Customers = total annual bulk rate charge </w:t>
      </w:r>
      <w:r>
        <w:rPr>
          <w:rFonts w:ascii="Symbol" w:hAnsi="Symbol"/>
          <w:color w:val="000000"/>
        </w:rPr>
        <w:sym w:font="Symbol" w:char="F0B8"/>
      </w:r>
      <w:r>
        <w:rPr>
          <w:rFonts w:ascii="Times" w:hAnsi="Times"/>
          <w:color w:val="000000"/>
        </w:rPr>
        <w:t xml:space="preserve"> basic annual subscription rate for individual households).</w:t>
      </w:r>
    </w:p>
  </w:footnote>
  <w:footnote w:id="4">
    <w:p w:rsidR="00B721A5" w:rsidRPr="002751DD" w:rsidP="001B7439">
      <w:pPr>
        <w:pStyle w:val="FootnoteText"/>
        <w:spacing w:after="120"/>
        <w:rPr>
          <w:i/>
        </w:rPr>
      </w:pPr>
      <w:r>
        <w:rPr>
          <w:rStyle w:val="FootnoteReference"/>
        </w:rPr>
        <w:footnoteRef/>
      </w:r>
      <w:r>
        <w:t xml:space="preserve"> </w:t>
      </w:r>
      <w:r>
        <w:rPr>
          <w:i/>
        </w:rPr>
        <w:t>See</w:t>
      </w:r>
      <w:r>
        <w:t xml:space="preserve"> </w:t>
      </w:r>
      <w:r w:rsidRPr="002751DD">
        <w:rPr>
          <w:i/>
        </w:rPr>
        <w:t>FY 2013</w:t>
      </w:r>
      <w:r>
        <w:rPr>
          <w:i/>
        </w:rPr>
        <w:t xml:space="preserve"> Report and Order, </w:t>
      </w:r>
      <w:r>
        <w:t xml:space="preserve">28 FCC </w:t>
      </w:r>
      <w:r>
        <w:t>Rcd</w:t>
      </w:r>
      <w:r>
        <w:t xml:space="preserve"> at 12363, para. 33.  </w:t>
      </w:r>
      <w:r w:rsidRPr="002751DD">
        <w:rPr>
          <w:i/>
        </w:rPr>
        <w:t xml:space="preserve"> </w:t>
      </w:r>
    </w:p>
  </w:footnote>
  <w:footnote w:id="5">
    <w:p w:rsidR="00B721A5" w:rsidP="001B7439">
      <w:pPr>
        <w:pStyle w:val="FootnoteText"/>
        <w:spacing w:after="120"/>
      </w:pPr>
      <w:r>
        <w:rPr>
          <w:rStyle w:val="FootnoteReference"/>
        </w:rPr>
        <w:footnoteRef/>
      </w:r>
      <w:r>
        <w:t xml:space="preserve"> Per 159 (b)(4)(B).</w:t>
      </w:r>
    </w:p>
  </w:footnote>
  <w:footnote w:id="6">
    <w:p w:rsidR="00B721A5" w:rsidP="001B7439">
      <w:pPr>
        <w:pStyle w:val="FootnoteText"/>
        <w:spacing w:after="120"/>
      </w:pPr>
      <w:r>
        <w:rPr>
          <w:rStyle w:val="FootnoteReference"/>
        </w:rPr>
        <w:footnoteRef/>
      </w:r>
      <w:r>
        <w:t xml:space="preserve"> </w:t>
      </w:r>
      <w:r w:rsidRPr="00140793">
        <w:rPr>
          <w:i/>
        </w:rPr>
        <w:t>Assessment and Collection of Regulatory Fees for Fiscal Year 2015</w:t>
      </w:r>
      <w:r>
        <w:t>, Notice of Proposed Rulemaking, Report and Order, and Order</w:t>
      </w:r>
      <w:r w:rsidRPr="00C31D3A">
        <w:t xml:space="preserve">, 30 </w:t>
      </w:r>
      <w:r>
        <w:t xml:space="preserve">FCC </w:t>
      </w:r>
      <w:r>
        <w:t>Rcd</w:t>
      </w:r>
      <w:r>
        <w:t xml:space="preserve"> 5354 </w:t>
      </w:r>
      <w:r w:rsidRPr="00C31D3A">
        <w:t>(2015</w:t>
      </w:r>
      <w:r>
        <w:t>) (</w:t>
      </w:r>
      <w:r w:rsidRPr="00140793">
        <w:rPr>
          <w:i/>
        </w:rPr>
        <w:t>FY 2015 NPRM</w:t>
      </w:r>
      <w:r>
        <w:rPr>
          <w:i/>
        </w:rPr>
        <w:t>, FY 2015 Fee Reform Report and Order</w:t>
      </w:r>
      <w:r>
        <w:t>).</w:t>
      </w:r>
    </w:p>
  </w:footnote>
  <w:footnote w:id="7">
    <w:p w:rsidR="00E7634A" w:rsidP="001B7439">
      <w:pPr>
        <w:pStyle w:val="FootnoteText"/>
        <w:spacing w:after="120"/>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8">
    <w:p w:rsidR="00B721A5" w:rsidP="001B7439">
      <w:pPr>
        <w:pStyle w:val="FootnoteText"/>
        <w:spacing w:after="120"/>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6F67" w:rsidP="009C6F67">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4384" behindDoc="0" locked="0" layoutInCell="0" allowOverlap="1">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9C6F67" w:rsidRPr="00F22398" w:rsidP="009C6F67">
    <w:pPr>
      <w:pStyle w:val="Header"/>
      <w:tabs>
        <w:tab w:val="clear" w:pos="4320"/>
        <w:tab w:val="clear" w:pos="8640"/>
      </w:tabs>
      <w:spacing w:before="40"/>
      <w:jc w:val="center"/>
      <w:rPr>
        <w:rFonts w:ascii="Times New Roman" w:hAnsi="Times New Roman"/>
        <w:b/>
        <w:kern w:val="28"/>
        <w:sz w:val="44"/>
        <w:szCs w:val="44"/>
      </w:rPr>
    </w:pPr>
  </w:p>
  <w:p w:rsidR="009C6F67" w:rsidP="009C6F67">
    <w:pPr>
      <w:pStyle w:val="Header"/>
      <w:tabs>
        <w:tab w:val="left" w:pos="1080"/>
        <w:tab w:val="clear" w:pos="4320"/>
        <w:tab w:val="clear" w:pos="864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C6F67" w:rsidP="009C6F67">
                          <w:pPr>
                            <w:rPr>
                              <w:rFonts w:ascii="Arial" w:hAnsi="Arial"/>
                              <w:b/>
                            </w:rPr>
                          </w:pPr>
                          <w:r>
                            <w:rPr>
                              <w:rFonts w:ascii="Arial" w:hAnsi="Arial"/>
                              <w:b/>
                            </w:rPr>
                            <w:t>Federal Communications Commission</w:t>
                          </w:r>
                        </w:p>
                        <w:p w:rsidR="009C6F67" w:rsidP="009C6F6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C6F67" w:rsidP="009C6F6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3.2pt;margin-top:5.7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9C6F67" w:rsidP="009C6F67">
                    <w:pPr>
                      <w:rPr>
                        <w:rFonts w:ascii="Arial" w:hAnsi="Arial"/>
                        <w:b/>
                      </w:rPr>
                    </w:pPr>
                    <w:r>
                      <w:rPr>
                        <w:rFonts w:ascii="Arial" w:hAnsi="Arial"/>
                        <w:b/>
                      </w:rPr>
                      <w:t>Federal Communications Commission</w:t>
                    </w:r>
                  </w:p>
                  <w:p w:rsidR="009C6F67" w:rsidP="009C6F6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C6F67" w:rsidP="009C6F6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C6F67" w:rsidP="009C6F67">
                          <w:pPr>
                            <w:spacing w:before="40"/>
                            <w:jc w:val="right"/>
                            <w:rPr>
                              <w:rFonts w:ascii="Arial" w:hAnsi="Arial"/>
                              <w:b/>
                              <w:sz w:val="16"/>
                            </w:rPr>
                          </w:pPr>
                          <w:r>
                            <w:rPr>
                              <w:rFonts w:ascii="Arial" w:hAnsi="Arial"/>
                              <w:b/>
                            </w:rPr>
                            <w:t xml:space="preserve">August </w:t>
                          </w:r>
                          <w:r w:rsidR="003B2FDE">
                            <w:rPr>
                              <w:rFonts w:ascii="Arial" w:hAnsi="Arial"/>
                              <w:b/>
                            </w:rPr>
                            <w:t>30</w:t>
                          </w:r>
                          <w:r>
                            <w:rPr>
                              <w:rFonts w:ascii="Arial" w:hAnsi="Arial"/>
                              <w:b/>
                            </w:rPr>
                            <w:t>, 201</w:t>
                          </w:r>
                          <w:r>
                            <w:rPr>
                              <w:rFonts w:ascii="Arial" w:hAnsi="Arial"/>
                              <w:b/>
                            </w:rPr>
                            <w:t>8</w:t>
                          </w:r>
                        </w:p>
                        <w:p w:rsidR="009C6F67" w:rsidP="009C6F6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9C6F67" w:rsidP="009C6F67">
                    <w:pPr>
                      <w:spacing w:before="40"/>
                      <w:jc w:val="right"/>
                      <w:rPr>
                        <w:rFonts w:ascii="Arial" w:hAnsi="Arial"/>
                        <w:b/>
                        <w:sz w:val="16"/>
                      </w:rPr>
                    </w:pPr>
                    <w:r>
                      <w:rPr>
                        <w:rFonts w:ascii="Arial" w:hAnsi="Arial"/>
                        <w:b/>
                      </w:rPr>
                      <w:t xml:space="preserve">August </w:t>
                    </w:r>
                    <w:r w:rsidR="003B2FDE">
                      <w:rPr>
                        <w:rFonts w:ascii="Arial" w:hAnsi="Arial"/>
                        <w:b/>
                      </w:rPr>
                      <w:t>30</w:t>
                    </w:r>
                    <w:r>
                      <w:rPr>
                        <w:rFonts w:ascii="Arial" w:hAnsi="Arial"/>
                        <w:b/>
                      </w:rPr>
                      <w:t>, 201</w:t>
                    </w:r>
                    <w:r>
                      <w:rPr>
                        <w:rFonts w:ascii="Arial" w:hAnsi="Arial"/>
                        <w:b/>
                      </w:rPr>
                      <w:t>8</w:t>
                    </w:r>
                  </w:p>
                  <w:p w:rsidR="009C6F67" w:rsidP="009C6F6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B721A5">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2714B79"/>
    <w:multiLevelType w:val="singleLevel"/>
    <w:tmpl w:val="593E1C42"/>
    <w:lvl w:ilvl="0">
      <w:start w:val="0"/>
      <w:numFmt w:val="bullet"/>
      <w:lvlText w:val=""/>
      <w:lvlJc w:val="left"/>
      <w:pPr>
        <w:tabs>
          <w:tab w:val="num" w:pos="720"/>
        </w:tabs>
        <w:ind w:left="720" w:hanging="720"/>
      </w:pPr>
      <w:rPr>
        <w:rFonts w:ascii="Wingdings" w:hAnsi="Wingdings" w:hint="default"/>
      </w:rPr>
    </w:lvl>
  </w:abstractNum>
  <w:abstractNum w:abstractNumId="2">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Symbo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Symbo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6204A59"/>
    <w:multiLevelType w:val="hybridMultilevel"/>
    <w:tmpl w:val="D1AA1AF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1">
    <w:nsid w:val="6D4829E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9"/>
  </w:num>
  <w:num w:numId="4">
    <w:abstractNumId w:val="0"/>
  </w:num>
  <w:num w:numId="5">
    <w:abstractNumId w:val="9"/>
  </w:num>
  <w:num w:numId="6">
    <w:abstractNumId w:val="9"/>
  </w:num>
  <w:num w:numId="7">
    <w:abstractNumId w:val="9"/>
  </w:num>
  <w:num w:numId="8">
    <w:abstractNumId w:val="9"/>
  </w:num>
  <w:num w:numId="9">
    <w:abstractNumId w:val="9"/>
  </w:num>
  <w:num w:numId="10">
    <w:abstractNumId w:val="9"/>
  </w:num>
  <w:num w:numId="11">
    <w:abstractNumId w:val="4"/>
  </w:num>
  <w:num w:numId="12">
    <w:abstractNumId w:val="3"/>
  </w:num>
  <w:num w:numId="13">
    <w:abstractNumId w:val="12"/>
  </w:num>
  <w:num w:numId="14">
    <w:abstractNumId w:val="7"/>
  </w:num>
  <w:num w:numId="15">
    <w:abstractNumId w:val="2"/>
  </w:num>
  <w:num w:numId="16">
    <w:abstractNumId w:val="1"/>
  </w:num>
  <w:num w:numId="17">
    <w:abstractNumId w:val="6"/>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customStyle="1" w:styleId="ParaNum0">
    <w:name w:val="ParaNum"/>
    <w:basedOn w:val="Normal"/>
    <w:link w:val="ParaNumChar"/>
    <w:pPr>
      <w:numPr>
        <w:numId w:val="18"/>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050F20"/>
    <w:rPr>
      <w:snapToGrid w:val="0"/>
      <w:kern w:val="28"/>
      <w:sz w:val="22"/>
      <w:lang w:val="en-US" w:eastAsia="en-US" w:bidi="ar-SA"/>
    </w:rPr>
  </w:style>
  <w:style w:type="paragraph" w:styleId="BalloonText">
    <w:name w:val="Balloon Text"/>
    <w:basedOn w:val="Normal"/>
    <w:semiHidden/>
    <w:rsid w:val="00AB072B"/>
    <w:rPr>
      <w:rFonts w:ascii="Tahoma" w:hAnsi="Tahoma" w:cs="Tahoma"/>
      <w:sz w:val="16"/>
      <w:szCs w:val="16"/>
    </w:rPr>
  </w:style>
  <w:style w:type="paragraph" w:styleId="BodyText">
    <w:name w:val="Body Text"/>
    <w:basedOn w:val="Normal"/>
    <w:rsid w:val="00F37077"/>
    <w:pPr>
      <w:spacing w:after="120"/>
    </w:p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CD2425"/>
    <w:rPr>
      <w:rFonts w:ascii="Times Roman" w:hAnsi="Times Roman"/>
    </w:rPr>
  </w:style>
  <w:style w:type="character" w:styleId="CommentReference">
    <w:name w:val="annotation reference"/>
    <w:rsid w:val="0019270F"/>
    <w:rPr>
      <w:sz w:val="16"/>
      <w:szCs w:val="16"/>
    </w:rPr>
  </w:style>
  <w:style w:type="paragraph" w:styleId="CommentText">
    <w:name w:val="annotation text"/>
    <w:basedOn w:val="Normal"/>
    <w:link w:val="CommentTextChar"/>
    <w:rsid w:val="0019270F"/>
  </w:style>
  <w:style w:type="character" w:customStyle="1" w:styleId="CommentTextChar">
    <w:name w:val="Comment Text Char"/>
    <w:link w:val="CommentText"/>
    <w:rsid w:val="0019270F"/>
    <w:rPr>
      <w:rFonts w:ascii="Times Roman" w:hAnsi="Times Roman"/>
    </w:rPr>
  </w:style>
  <w:style w:type="paragraph" w:styleId="CommentSubject">
    <w:name w:val="annotation subject"/>
    <w:basedOn w:val="CommentText"/>
    <w:next w:val="CommentText"/>
    <w:link w:val="CommentSubjectChar"/>
    <w:rsid w:val="0019270F"/>
    <w:rPr>
      <w:b/>
      <w:bCs/>
    </w:rPr>
  </w:style>
  <w:style w:type="character" w:customStyle="1" w:styleId="CommentSubjectChar">
    <w:name w:val="Comment Subject Char"/>
    <w:link w:val="CommentSubject"/>
    <w:rsid w:val="0019270F"/>
    <w:rPr>
      <w:rFonts w:ascii="Times Roman" w:hAnsi="Times Roman"/>
      <w:b/>
      <w:bCs/>
    </w:rPr>
  </w:style>
  <w:style w:type="character" w:customStyle="1" w:styleId="ParaNumChar1">
    <w:name w:val="ParaNum Char1"/>
    <w:locked/>
    <w:rsid w:val="00C42AA8"/>
    <w:rPr>
      <w:snapToGrid w:val="0"/>
      <w:kern w:val="28"/>
      <w:sz w:val="22"/>
    </w:rPr>
  </w:style>
  <w:style w:type="numbering" w:customStyle="1" w:styleId="Style1">
    <w:name w:val="Style1"/>
    <w:uiPriority w:val="99"/>
    <w:rsid w:val="00590EE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