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CENTURYLINK/QWEST CORPORATION</w:t>
      </w:r>
    </w:p>
    <w:p w:rsidR="00AC191A" w:rsidP="00AC191A">
      <w:pPr>
        <w:pStyle w:val="Title"/>
        <w:jc w:val="left"/>
        <w:rPr>
          <w:szCs w:val="22"/>
        </w:rPr>
      </w:pPr>
    </w:p>
    <w:p w:rsidR="00BB6E7C" w:rsidP="00585588">
      <w:pPr>
        <w:pStyle w:val="Title"/>
        <w:jc w:val="left"/>
        <w:rPr>
          <w:szCs w:val="22"/>
        </w:rPr>
      </w:pPr>
      <w:r>
        <w:rPr>
          <w:szCs w:val="22"/>
        </w:rPr>
        <w:t>WC Docket No. 18-</w:t>
      </w:r>
      <w:r w:rsidR="004C6DF2">
        <w:rPr>
          <w:szCs w:val="22"/>
        </w:rPr>
        <w:t>245</w:t>
      </w:r>
      <w:r>
        <w:rPr>
          <w:szCs w:val="22"/>
        </w:rPr>
        <w:tab/>
      </w:r>
      <w:r>
        <w:rPr>
          <w:szCs w:val="22"/>
        </w:rPr>
        <w:tab/>
      </w:r>
      <w:r>
        <w:rPr>
          <w:szCs w:val="22"/>
        </w:rPr>
        <w:tab/>
      </w:r>
      <w:r>
        <w:rPr>
          <w:szCs w:val="22"/>
        </w:rPr>
        <w:tab/>
      </w:r>
      <w:r>
        <w:rPr>
          <w:szCs w:val="22"/>
        </w:rPr>
        <w:tab/>
        <w:t xml:space="preserve">       </w:t>
      </w:r>
      <w:r w:rsidR="00B35414">
        <w:rPr>
          <w:szCs w:val="22"/>
        </w:rPr>
        <w:t xml:space="preserve">     </w:t>
      </w:r>
      <w:r>
        <w:rPr>
          <w:szCs w:val="22"/>
        </w:rPr>
        <w:t xml:space="preserve">August </w:t>
      </w:r>
      <w:r w:rsidR="00B35414">
        <w:rPr>
          <w:szCs w:val="22"/>
        </w:rPr>
        <w:t>31</w:t>
      </w:r>
      <w:r>
        <w:rPr>
          <w:szCs w:val="22"/>
        </w:rPr>
        <w:t>, 2018</w:t>
      </w:r>
    </w:p>
    <w:p w:rsidR="008961DF" w:rsidP="00585588">
      <w:pPr>
        <w:pStyle w:val="Title"/>
        <w:jc w:val="left"/>
        <w:rPr>
          <w:szCs w:val="22"/>
        </w:rPr>
      </w:pPr>
      <w:r w:rsidRPr="00F046EC">
        <w:rPr>
          <w:szCs w:val="22"/>
        </w:rPr>
        <w:t xml:space="preserve">Report No. </w:t>
      </w:r>
      <w:r>
        <w:rPr>
          <w:szCs w:val="22"/>
        </w:rPr>
        <w:t>NCD-2849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9E4360">
        <w:rPr>
          <w:szCs w:val="22"/>
        </w:rPr>
        <w:t>CenturyLink/Qwest Corporation (CenturyLink)</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Pr>
          <w:szCs w:val="22"/>
        </w:rPr>
        <w:t xml:space="preserve">  </w:t>
      </w:r>
      <w:r w:rsidRPr="009C555B">
        <w:rPr>
          <w:szCs w:val="22"/>
        </w:rPr>
        <w:t xml:space="preserve">Upon initial review the </w:t>
      </w:r>
      <w:r>
        <w:rPr>
          <w:szCs w:val="22"/>
        </w:rPr>
        <w:t xml:space="preserve">revised </w:t>
      </w:r>
      <w:r w:rsidRPr="009C555B">
        <w:rPr>
          <w:szCs w:val="22"/>
        </w:rPr>
        <w:t>filing appears to be complete.</w:t>
      </w:r>
      <w:r>
        <w:rPr>
          <w:rStyle w:val="FootnoteReference"/>
          <w:szCs w:val="22"/>
        </w:rPr>
        <w:footnoteReference w:id="3"/>
      </w:r>
      <w:r>
        <w:rPr>
          <w:szCs w:val="22"/>
        </w:rPr>
        <w:t xml:space="preserve">  </w:t>
      </w:r>
      <w:r w:rsidRPr="00E25608">
        <w:rPr>
          <w:szCs w:val="22"/>
        </w:rPr>
        <w:t xml:space="preserve">Specific network change information can be obtained on the Internet at:  </w:t>
      </w:r>
      <w:r>
        <w:fldChar w:fldCharType="begin"/>
      </w:r>
      <w:r>
        <w:instrText xml:space="preserve"> HYPERLINK "http://qwest.centurylink.com/disclosures/" </w:instrText>
      </w:r>
      <w:r>
        <w:fldChar w:fldCharType="separate"/>
      </w:r>
      <w:r w:rsidRPr="00E73A02">
        <w:rPr>
          <w:rStyle w:val="Hyperlink"/>
          <w:szCs w:val="22"/>
        </w:rPr>
        <w:t>http://qwest.centurylink.com/disclosures/</w:t>
      </w:r>
      <w:r>
        <w:fldChar w:fldCharType="end"/>
      </w:r>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520"/>
        <w:gridCol w:w="2160"/>
        <w:gridCol w:w="2520"/>
      </w:tblGrid>
      <w:tr w:rsidTr="00754FE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52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16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754FEE">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81</w:t>
            </w:r>
            <w:r w:rsidR="00A12FC0">
              <w:rPr>
                <w:bCs/>
                <w:color w:val="231F20"/>
                <w:szCs w:val="22"/>
              </w:rPr>
              <w:t>3</w:t>
            </w:r>
          </w:p>
          <w:p w:rsidR="00C152CC" w:rsidRPr="006F5D07" w:rsidP="00163618">
            <w:pPr>
              <w:autoSpaceDE w:val="0"/>
              <w:autoSpaceDN w:val="0"/>
              <w:adjustRightInd w:val="0"/>
              <w:rPr>
                <w:szCs w:val="22"/>
              </w:rPr>
            </w:pPr>
          </w:p>
        </w:tc>
        <w:tc>
          <w:tcPr>
            <w:tcW w:w="2520" w:type="dxa"/>
            <w:shd w:val="clear" w:color="auto" w:fill="auto"/>
          </w:tcPr>
          <w:p w:rsidR="00C152CC" w:rsidRPr="0019040E" w:rsidP="00163618">
            <w:pPr>
              <w:pStyle w:val="Default"/>
              <w:rPr>
                <w:rFonts w:ascii="Times New Roman" w:hAnsi="Times New Roman" w:cs="Times New Roman"/>
                <w:sz w:val="22"/>
                <w:szCs w:val="22"/>
              </w:rPr>
            </w:pPr>
            <w:r w:rsidRPr="00063B12">
              <w:rPr>
                <w:rFonts w:ascii="Times New Roman" w:hAnsi="Times New Roman" w:cs="Times New Roman"/>
                <w:sz w:val="22"/>
                <w:szCs w:val="22"/>
              </w:rPr>
              <w:t>Due to growth in the distribution areas, CenturyLink plans to cut facilities to fiber fed digital loop carrier systems (DLCs).</w:t>
            </w:r>
          </w:p>
        </w:tc>
        <w:tc>
          <w:tcPr>
            <w:tcW w:w="2160" w:type="dxa"/>
            <w:shd w:val="clear" w:color="auto" w:fill="auto"/>
          </w:tcPr>
          <w:p w:rsidR="00BC798F" w:rsidP="00163618">
            <w:pPr>
              <w:pStyle w:val="Default"/>
              <w:rPr>
                <w:rFonts w:ascii="Times New Roman" w:hAnsi="Times New Roman" w:cs="Times New Roman"/>
                <w:sz w:val="22"/>
                <w:szCs w:val="22"/>
              </w:rPr>
            </w:pPr>
            <w:r>
              <w:rPr>
                <w:rFonts w:ascii="Times New Roman" w:hAnsi="Times New Roman" w:cs="Times New Roman"/>
                <w:sz w:val="22"/>
                <w:szCs w:val="22"/>
              </w:rPr>
              <w:t>Afton</w:t>
            </w:r>
            <w:r w:rsidR="00972A48">
              <w:rPr>
                <w:rFonts w:ascii="Times New Roman" w:hAnsi="Times New Roman" w:cs="Times New Roman"/>
                <w:sz w:val="22"/>
                <w:szCs w:val="22"/>
              </w:rPr>
              <w:t xml:space="preserve">, </w:t>
            </w:r>
            <w:r>
              <w:rPr>
                <w:rFonts w:ascii="Times New Roman" w:hAnsi="Times New Roman" w:cs="Times New Roman"/>
                <w:sz w:val="22"/>
                <w:szCs w:val="22"/>
              </w:rPr>
              <w:t>MN</w:t>
            </w:r>
          </w:p>
          <w:p w:rsidR="003A4CB1" w:rsidP="00163618">
            <w:pPr>
              <w:pStyle w:val="Default"/>
              <w:rPr>
                <w:rFonts w:ascii="Times New Roman" w:hAnsi="Times New Roman" w:cs="Times New Roman"/>
                <w:sz w:val="22"/>
                <w:szCs w:val="22"/>
              </w:rPr>
            </w:pPr>
          </w:p>
          <w:p w:rsidR="00754FEE" w:rsidRPr="00860B5A" w:rsidP="00163618">
            <w:pPr>
              <w:pStyle w:val="Default"/>
              <w:rPr>
                <w:szCs w:val="22"/>
              </w:rPr>
            </w:pPr>
            <w:r>
              <w:rPr>
                <w:rFonts w:ascii="Times New Roman" w:hAnsi="Times New Roman" w:cs="Times New Roman"/>
                <w:sz w:val="22"/>
                <w:szCs w:val="22"/>
              </w:rPr>
              <w:t>Sh</w:t>
            </w:r>
            <w:r w:rsidR="00A12FC0">
              <w:rPr>
                <w:rFonts w:ascii="Times New Roman" w:hAnsi="Times New Roman" w:cs="Times New Roman"/>
                <w:sz w:val="22"/>
                <w:szCs w:val="22"/>
              </w:rPr>
              <w:t>akopee</w:t>
            </w:r>
            <w:r>
              <w:rPr>
                <w:rFonts w:ascii="Times New Roman" w:hAnsi="Times New Roman" w:cs="Times New Roman"/>
                <w:sz w:val="22"/>
                <w:szCs w:val="22"/>
              </w:rPr>
              <w:t>, MN</w:t>
            </w:r>
          </w:p>
        </w:tc>
        <w:tc>
          <w:tcPr>
            <w:tcW w:w="2520" w:type="dxa"/>
            <w:shd w:val="clear" w:color="auto" w:fill="auto"/>
          </w:tcPr>
          <w:p w:rsidR="00C152CC" w:rsidP="00163618">
            <w:pPr>
              <w:tabs>
                <w:tab w:val="left" w:pos="0"/>
              </w:tabs>
              <w:suppressAutoHyphens/>
              <w:rPr>
                <w:szCs w:val="22"/>
              </w:rPr>
            </w:pPr>
            <w:r>
              <w:rPr>
                <w:szCs w:val="22"/>
              </w:rPr>
              <w:t>November 30</w:t>
            </w:r>
            <w:r w:rsidR="00972A48">
              <w:rPr>
                <w:szCs w:val="22"/>
              </w:rPr>
              <w:t>, 2018</w:t>
            </w:r>
          </w:p>
          <w:p w:rsidR="003A4CB1" w:rsidP="00163618">
            <w:pPr>
              <w:tabs>
                <w:tab w:val="left" w:pos="0"/>
              </w:tabs>
              <w:suppressAutoHyphens/>
              <w:rPr>
                <w:szCs w:val="22"/>
              </w:rPr>
            </w:pPr>
          </w:p>
          <w:p w:rsidR="003A4CB1" w:rsidRPr="00370AEA" w:rsidP="00163618">
            <w:pPr>
              <w:tabs>
                <w:tab w:val="left" w:pos="0"/>
              </w:tabs>
              <w:suppressAutoHyphens/>
              <w:rPr>
                <w:b/>
                <w:szCs w:val="22"/>
              </w:rPr>
            </w:pPr>
            <w:r>
              <w:rPr>
                <w:szCs w:val="22"/>
              </w:rPr>
              <w:t>December 30, 2018</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sidRPr="003E53E0">
        <w:rPr>
          <w:szCs w:val="22"/>
        </w:rPr>
        <w:t>Vice President – Federal Regulatory 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 xml:space="preserve">The effective implementation </w:t>
      </w:r>
      <w:r w:rsidRPr="00EB7576">
        <w:rPr>
          <w:szCs w:val="22"/>
        </w:rPr>
        <w:t>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C56363">
      <w:pPr>
        <w:pStyle w:val="FootnoteText"/>
        <w:rPr>
          <w:sz w:val="20"/>
        </w:rPr>
      </w:pPr>
      <w:r>
        <w:rPr>
          <w:rStyle w:val="FootnoteReference"/>
        </w:rPr>
        <w:footnoteRef/>
      </w:r>
      <w:r>
        <w:t xml:space="preserve"> </w:t>
      </w:r>
      <w:r>
        <w:rPr>
          <w:sz w:val="20"/>
        </w:rPr>
        <w:t xml:space="preserve">On August </w:t>
      </w:r>
      <w:r w:rsidR="009F1FD5">
        <w:rPr>
          <w:sz w:val="20"/>
        </w:rPr>
        <w:t>16</w:t>
      </w:r>
      <w:r>
        <w:rPr>
          <w:sz w:val="20"/>
        </w:rPr>
        <w:t xml:space="preserve">, 2018, CenturyLink </w:t>
      </w:r>
      <w:r w:rsidRPr="00C56363">
        <w:rPr>
          <w:sz w:val="20"/>
        </w:rPr>
        <w:t xml:space="preserve">revised </w:t>
      </w:r>
      <w:r>
        <w:rPr>
          <w:sz w:val="20"/>
        </w:rPr>
        <w:t xml:space="preserve">its </w:t>
      </w:r>
      <w:r w:rsidRPr="00C56363">
        <w:rPr>
          <w:sz w:val="20"/>
        </w:rPr>
        <w:t xml:space="preserve">filing to </w:t>
      </w:r>
      <w:r w:rsidR="009F1FD5">
        <w:rPr>
          <w:sz w:val="20"/>
        </w:rPr>
        <w:t>extend the proposed implementation date</w:t>
      </w:r>
      <w:r w:rsidR="00177191">
        <w:rPr>
          <w:sz w:val="20"/>
        </w:rPr>
        <w:t>s</w:t>
      </w:r>
      <w:bookmarkStart w:id="0" w:name="_GoBack"/>
      <w:bookmarkEnd w:id="0"/>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716692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