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CENTURYLINK/QWEST CORPORATION</w:t>
      </w:r>
    </w:p>
    <w:p w:rsidR="00AC191A" w:rsidP="00AC191A">
      <w:pPr>
        <w:pStyle w:val="Title"/>
        <w:jc w:val="left"/>
        <w:rPr>
          <w:szCs w:val="22"/>
        </w:rPr>
      </w:pPr>
    </w:p>
    <w:p w:rsidR="00BB6E7C" w:rsidP="00585588">
      <w:pPr>
        <w:pStyle w:val="Title"/>
        <w:jc w:val="left"/>
        <w:rPr>
          <w:szCs w:val="22"/>
        </w:rPr>
      </w:pPr>
      <w:r>
        <w:rPr>
          <w:szCs w:val="22"/>
        </w:rPr>
        <w:t>WC Docket No. 18-</w:t>
      </w:r>
      <w:r w:rsidR="004C6DF2">
        <w:rPr>
          <w:szCs w:val="22"/>
        </w:rPr>
        <w:t>24</w:t>
      </w:r>
      <w:r w:rsidR="00ED401E">
        <w:rPr>
          <w:szCs w:val="22"/>
        </w:rPr>
        <w:t>6</w:t>
      </w:r>
      <w:r>
        <w:rPr>
          <w:szCs w:val="22"/>
        </w:rPr>
        <w:tab/>
      </w:r>
      <w:r>
        <w:rPr>
          <w:szCs w:val="22"/>
        </w:rPr>
        <w:tab/>
      </w:r>
      <w:r>
        <w:rPr>
          <w:szCs w:val="22"/>
        </w:rPr>
        <w:tab/>
      </w:r>
      <w:r>
        <w:rPr>
          <w:szCs w:val="22"/>
        </w:rPr>
        <w:tab/>
      </w:r>
      <w:r>
        <w:rPr>
          <w:szCs w:val="22"/>
        </w:rPr>
        <w:tab/>
        <w:t xml:space="preserve">       </w:t>
      </w:r>
      <w:r w:rsidR="00B35414">
        <w:rPr>
          <w:szCs w:val="22"/>
        </w:rPr>
        <w:t xml:space="preserve">     </w:t>
      </w:r>
      <w:r>
        <w:rPr>
          <w:szCs w:val="22"/>
        </w:rPr>
        <w:t xml:space="preserve">August </w:t>
      </w:r>
      <w:r w:rsidR="00B35414">
        <w:rPr>
          <w:szCs w:val="22"/>
        </w:rPr>
        <w:t>31</w:t>
      </w:r>
      <w:r>
        <w:rPr>
          <w:szCs w:val="22"/>
        </w:rPr>
        <w:t>, 2018</w:t>
      </w:r>
    </w:p>
    <w:p w:rsidR="008961DF" w:rsidP="00585588">
      <w:pPr>
        <w:pStyle w:val="Title"/>
        <w:jc w:val="left"/>
        <w:rPr>
          <w:szCs w:val="22"/>
        </w:rPr>
      </w:pPr>
      <w:r w:rsidRPr="00F046EC">
        <w:rPr>
          <w:szCs w:val="22"/>
        </w:rPr>
        <w:t xml:space="preserve">Report No. </w:t>
      </w:r>
      <w:r>
        <w:rPr>
          <w:szCs w:val="22"/>
        </w:rPr>
        <w:t>NCD-28</w:t>
      </w:r>
      <w:r w:rsidR="005D4235">
        <w:rPr>
          <w:szCs w:val="22"/>
        </w:rPr>
        <w:t>50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CenturyLink/Qwest Corporation (CenturyLink)</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Pr>
          <w:szCs w:val="22"/>
        </w:rPr>
        <w:t xml:space="preserve">  </w:t>
      </w:r>
      <w:r w:rsidRPr="009C555B">
        <w:rPr>
          <w:szCs w:val="22"/>
        </w:rPr>
        <w:t xml:space="preserve">Upon initial review the </w:t>
      </w:r>
      <w:r>
        <w:rPr>
          <w:szCs w:val="22"/>
        </w:rPr>
        <w:t xml:space="preserve">revised </w:t>
      </w:r>
      <w:r w:rsidRPr="009C555B">
        <w:rPr>
          <w:szCs w:val="22"/>
        </w:rPr>
        <w:t>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"http://qwest.centurylink.com/disclosures/" </w:instrText>
      </w:r>
      <w:r>
        <w:fldChar w:fldCharType="separate"/>
      </w:r>
      <w:r w:rsidRPr="00E73A02">
        <w:rPr>
          <w:rStyle w:val="Hyperlink"/>
          <w:szCs w:val="22"/>
        </w:rPr>
        <w:t>http://qwest.centurylink.com/disclosures/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40"/>
        <w:gridCol w:w="1440"/>
        <w:gridCol w:w="2520"/>
      </w:tblGrid>
      <w:tr w:rsidTr="00872AA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2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144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872AA2">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81</w:t>
            </w:r>
            <w:r w:rsidR="00ED401E">
              <w:rPr>
                <w:bCs/>
                <w:color w:val="231F20"/>
                <w:szCs w:val="22"/>
              </w:rPr>
              <w:t>4</w:t>
            </w:r>
          </w:p>
          <w:p w:rsidR="00C152CC" w:rsidRPr="006F5D07" w:rsidP="00163618">
            <w:pPr>
              <w:autoSpaceDE w:val="0"/>
              <w:autoSpaceDN w:val="0"/>
              <w:adjustRightInd w:val="0"/>
              <w:rPr>
                <w:szCs w:val="22"/>
              </w:rPr>
            </w:pPr>
          </w:p>
        </w:tc>
        <w:tc>
          <w:tcPr>
            <w:tcW w:w="3240" w:type="dxa"/>
            <w:shd w:val="clear" w:color="auto" w:fill="auto"/>
          </w:tcPr>
          <w:p w:rsidR="00C152CC" w:rsidRPr="0019040E" w:rsidP="00163618">
            <w:pPr>
              <w:pStyle w:val="Default"/>
              <w:rPr>
                <w:rFonts w:ascii="Times New Roman" w:hAnsi="Times New Roman" w:cs="Times New Roman"/>
                <w:sz w:val="22"/>
                <w:szCs w:val="22"/>
              </w:rPr>
            </w:pPr>
            <w:r w:rsidRPr="00063B12">
              <w:rPr>
                <w:rFonts w:ascii="Times New Roman" w:hAnsi="Times New Roman" w:cs="Times New Roman"/>
                <w:sz w:val="22"/>
                <w:szCs w:val="22"/>
              </w:rPr>
              <w:t xml:space="preserve">Due to growth in the areas, </w:t>
            </w:r>
            <w:r w:rsidRPr="00ED401E" w:rsidR="00ED401E">
              <w:rPr>
                <w:rFonts w:ascii="Times New Roman" w:hAnsi="Times New Roman" w:cs="Times New Roman"/>
                <w:sz w:val="22"/>
                <w:szCs w:val="22"/>
              </w:rPr>
              <w:t xml:space="preserve">CenturyLink plans to retire copper loops and replace them with fiber loops as customers migrate to higher speed Broadband Internet Access (BIA), provided over its fiber-to-the-home </w:t>
            </w:r>
            <w:r w:rsidR="00872AA2">
              <w:rPr>
                <w:rFonts w:ascii="Times New Roman" w:hAnsi="Times New Roman" w:cs="Times New Roman"/>
                <w:sz w:val="22"/>
                <w:szCs w:val="22"/>
              </w:rPr>
              <w:t>overlay</w:t>
            </w:r>
            <w:r w:rsidRPr="00ED401E" w:rsidR="00ED401E">
              <w:rPr>
                <w:rFonts w:ascii="Times New Roman" w:hAnsi="Times New Roman" w:cs="Times New Roman"/>
                <w:sz w:val="22"/>
                <w:szCs w:val="22"/>
              </w:rPr>
              <w:t xml:space="preserve"> </w:t>
            </w:r>
            <w:r w:rsidR="00872AA2">
              <w:rPr>
                <w:rFonts w:ascii="Times New Roman" w:hAnsi="Times New Roman" w:cs="Times New Roman"/>
                <w:sz w:val="22"/>
                <w:szCs w:val="22"/>
              </w:rPr>
              <w:t>architecture</w:t>
            </w:r>
            <w:r w:rsidRPr="00063B12">
              <w:rPr>
                <w:rFonts w:ascii="Times New Roman" w:hAnsi="Times New Roman" w:cs="Times New Roman"/>
                <w:sz w:val="22"/>
                <w:szCs w:val="22"/>
              </w:rPr>
              <w:t>.</w:t>
            </w:r>
          </w:p>
        </w:tc>
        <w:tc>
          <w:tcPr>
            <w:tcW w:w="1440" w:type="dxa"/>
            <w:shd w:val="clear" w:color="auto" w:fill="auto"/>
          </w:tcPr>
          <w:p w:rsidR="00BC798F" w:rsidP="00163618">
            <w:pPr>
              <w:pStyle w:val="Default"/>
              <w:rPr>
                <w:rFonts w:ascii="Times New Roman" w:hAnsi="Times New Roman" w:cs="Times New Roman"/>
                <w:sz w:val="22"/>
                <w:szCs w:val="22"/>
              </w:rPr>
            </w:pPr>
            <w:r>
              <w:rPr>
                <w:rFonts w:ascii="Times New Roman" w:hAnsi="Times New Roman" w:cs="Times New Roman"/>
                <w:sz w:val="22"/>
                <w:szCs w:val="22"/>
              </w:rPr>
              <w:t>Crystal</w:t>
            </w:r>
            <w:r w:rsidR="00972A48">
              <w:rPr>
                <w:rFonts w:ascii="Times New Roman" w:hAnsi="Times New Roman" w:cs="Times New Roman"/>
                <w:sz w:val="22"/>
                <w:szCs w:val="22"/>
              </w:rPr>
              <w:t xml:space="preserve">, </w:t>
            </w:r>
            <w:r w:rsidR="00A12FC0">
              <w:rPr>
                <w:rFonts w:ascii="Times New Roman" w:hAnsi="Times New Roman" w:cs="Times New Roman"/>
                <w:sz w:val="22"/>
                <w:szCs w:val="22"/>
              </w:rPr>
              <w:t>MN</w:t>
            </w:r>
          </w:p>
          <w:p w:rsidR="00754FEE" w:rsidRPr="00860B5A" w:rsidP="00163618">
            <w:pPr>
              <w:pStyle w:val="Default"/>
              <w:rPr>
                <w:szCs w:val="22"/>
              </w:rPr>
            </w:pPr>
            <w:r>
              <w:rPr>
                <w:rFonts w:ascii="Times New Roman" w:hAnsi="Times New Roman" w:cs="Times New Roman"/>
                <w:sz w:val="22"/>
                <w:szCs w:val="22"/>
              </w:rPr>
              <w:t>Valley</w:t>
            </w:r>
            <w:r w:rsidR="00972A48">
              <w:rPr>
                <w:rFonts w:ascii="Times New Roman" w:hAnsi="Times New Roman" w:cs="Times New Roman"/>
                <w:sz w:val="22"/>
                <w:szCs w:val="22"/>
              </w:rPr>
              <w:t xml:space="preserve">, </w:t>
            </w:r>
            <w:r>
              <w:rPr>
                <w:rFonts w:ascii="Times New Roman" w:hAnsi="Times New Roman" w:cs="Times New Roman"/>
                <w:sz w:val="22"/>
                <w:szCs w:val="22"/>
              </w:rPr>
              <w:t>NE</w:t>
            </w:r>
          </w:p>
        </w:tc>
        <w:tc>
          <w:tcPr>
            <w:tcW w:w="2520" w:type="dxa"/>
            <w:shd w:val="clear" w:color="auto" w:fill="auto"/>
          </w:tcPr>
          <w:p w:rsidR="00C152CC" w:rsidRPr="00370AEA" w:rsidP="00163618">
            <w:pPr>
              <w:tabs>
                <w:tab w:val="left" w:pos="0"/>
              </w:tabs>
              <w:suppressAutoHyphens/>
              <w:rPr>
                <w:b/>
                <w:szCs w:val="22"/>
              </w:rPr>
            </w:pPr>
            <w:r>
              <w:rPr>
                <w:szCs w:val="22"/>
              </w:rPr>
              <w:t>November 30</w:t>
            </w:r>
            <w:r w:rsidR="00972A48">
              <w:rPr>
                <w:szCs w:val="22"/>
              </w:rPr>
              <w:t>, 2018</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sidRPr="003E53E0">
        <w:rPr>
          <w:szCs w:val="22"/>
        </w:rPr>
        <w:t>Vice President – Federal Regulatory 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C56363">
      <w:pPr>
        <w:pStyle w:val="FootnoteText"/>
        <w:rPr>
          <w:sz w:val="20"/>
        </w:rPr>
      </w:pPr>
      <w:r>
        <w:rPr>
          <w:rStyle w:val="FootnoteReference"/>
        </w:rPr>
        <w:footnoteRef/>
      </w:r>
      <w:r>
        <w:t xml:space="preserve"> </w:t>
      </w:r>
      <w:r>
        <w:rPr>
          <w:sz w:val="20"/>
        </w:rPr>
        <w:t xml:space="preserve">On August </w:t>
      </w:r>
      <w:r w:rsidR="009F1FD5">
        <w:rPr>
          <w:sz w:val="20"/>
        </w:rPr>
        <w:t>16</w:t>
      </w:r>
      <w:r>
        <w:rPr>
          <w:sz w:val="20"/>
        </w:rPr>
        <w:t xml:space="preserve">, 2018, CenturyLink </w:t>
      </w:r>
      <w:r w:rsidRPr="00C56363">
        <w:rPr>
          <w:sz w:val="20"/>
        </w:rPr>
        <w:t xml:space="preserve">revised </w:t>
      </w:r>
      <w:r>
        <w:rPr>
          <w:sz w:val="20"/>
        </w:rPr>
        <w:t xml:space="preserve">its </w:t>
      </w:r>
      <w:r w:rsidRPr="00C56363">
        <w:rPr>
          <w:sz w:val="20"/>
        </w:rPr>
        <w:t xml:space="preserve">filing to </w:t>
      </w:r>
      <w:r w:rsidR="009F1FD5">
        <w:rPr>
          <w:sz w:val="20"/>
        </w:rPr>
        <w:t>extend the proposed implementation date</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16666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