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p>
          <w:p w:rsidR="00E34E3F" w:rsidRPr="00B47F70" w:rsidP="00A41840">
            <w:pPr>
              <w:widowControl w:val="0"/>
              <w:autoSpaceDE w:val="0"/>
              <w:autoSpaceDN w:val="0"/>
              <w:adjustRightInd w:val="0"/>
              <w:jc w:val="center"/>
              <w:rPr>
                <w:b/>
                <w:bCs/>
                <w:caps/>
              </w:rPr>
            </w:pPr>
            <w:bookmarkStart w:id="0" w:name="_Hlk523913445"/>
            <w:bookmarkStart w:id="1" w:name="_GoBack"/>
            <w:r w:rsidRPr="00B47F70">
              <w:rPr>
                <w:b/>
                <w:bCs/>
                <w:caps/>
              </w:rPr>
              <w:t xml:space="preserve">FCC </w:t>
            </w:r>
            <w:r w:rsidRPr="00B47F70" w:rsidR="00A41840">
              <w:rPr>
                <w:b/>
                <w:bCs/>
                <w:caps/>
              </w:rPr>
              <w:t xml:space="preserve">ANNOUNCES TENTATIVE AGENDA FOR </w:t>
            </w:r>
            <w:r w:rsidR="002576D7">
              <w:rPr>
                <w:b/>
                <w:bCs/>
                <w:caps/>
              </w:rPr>
              <w:t>SEPTEMBER</w:t>
            </w:r>
            <w:r w:rsidRPr="00B47F70" w:rsidR="00A41840">
              <w:rPr>
                <w:b/>
                <w:bCs/>
                <w:caps/>
              </w:rPr>
              <w:t xml:space="preserve"> OPEN MEETING</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RPr="00A41840" w:rsidP="00A41840">
            <w:pPr>
              <w:tabs>
                <w:tab w:val="left" w:pos="8640"/>
              </w:tabs>
              <w:rPr>
                <w:sz w:val="22"/>
                <w:szCs w:val="22"/>
              </w:rPr>
            </w:pPr>
            <w:r w:rsidRPr="008A3940">
              <w:rPr>
                <w:sz w:val="22"/>
                <w:szCs w:val="22"/>
              </w:rPr>
              <w:t xml:space="preserve">WASHINGTON, </w:t>
            </w:r>
            <w:r w:rsidR="002576D7">
              <w:rPr>
                <w:sz w:val="22"/>
                <w:szCs w:val="22"/>
              </w:rPr>
              <w:t>September 5</w:t>
            </w:r>
            <w:r w:rsidR="00D148D6">
              <w:rPr>
                <w:sz w:val="22"/>
                <w:szCs w:val="22"/>
              </w:rPr>
              <w:t>, 201</w:t>
            </w:r>
            <w:r w:rsidR="00323539">
              <w:rPr>
                <w:sz w:val="22"/>
                <w:szCs w:val="22"/>
              </w:rPr>
              <w:t>8</w:t>
            </w:r>
            <w:r w:rsidR="00641CD8">
              <w:rPr>
                <w:sz w:val="22"/>
                <w:szCs w:val="22"/>
              </w:rPr>
              <w:t>—</w:t>
            </w:r>
            <w:r w:rsidRPr="00A41840">
              <w:rPr>
                <w:sz w:val="22"/>
                <w:szCs w:val="22"/>
              </w:rPr>
              <w:t xml:space="preserve">Federal Communications Commission Chairman </w:t>
            </w:r>
            <w:r w:rsidR="00A27E96">
              <w:rPr>
                <w:sz w:val="22"/>
                <w:szCs w:val="22"/>
              </w:rPr>
              <w:t xml:space="preserve">Ajit Pai </w:t>
            </w:r>
            <w:r w:rsidRPr="00A41840">
              <w:rPr>
                <w:sz w:val="22"/>
                <w:szCs w:val="22"/>
              </w:rPr>
              <w:t xml:space="preserve">announced that the following items are tentatively on the agenda for the </w:t>
            </w:r>
            <w:r w:rsidR="002576D7">
              <w:rPr>
                <w:sz w:val="22"/>
                <w:szCs w:val="22"/>
              </w:rPr>
              <w:t>September</w:t>
            </w:r>
            <w:r w:rsidRPr="00A41840">
              <w:rPr>
                <w:sz w:val="22"/>
                <w:szCs w:val="22"/>
              </w:rPr>
              <w:t xml:space="preserve"> Open Commission Meeting scheduled for </w:t>
            </w:r>
            <w:r w:rsidRPr="002576D7" w:rsidR="002576D7">
              <w:rPr>
                <w:sz w:val="22"/>
                <w:szCs w:val="22"/>
              </w:rPr>
              <w:t>Wednesday, September 26</w:t>
            </w:r>
            <w:r w:rsidRPr="002576D7" w:rsidR="00D148D6">
              <w:rPr>
                <w:sz w:val="22"/>
                <w:szCs w:val="22"/>
              </w:rPr>
              <w:t>, 201</w:t>
            </w:r>
            <w:r w:rsidRPr="002576D7" w:rsidR="00323539">
              <w:rPr>
                <w:sz w:val="22"/>
                <w:szCs w:val="22"/>
              </w:rPr>
              <w:t>8</w:t>
            </w:r>
            <w:r w:rsidRPr="002576D7">
              <w:rPr>
                <w:sz w:val="22"/>
                <w:szCs w:val="22"/>
              </w:rPr>
              <w:t>:</w:t>
            </w:r>
          </w:p>
          <w:p w:rsidR="00A41840" w:rsidP="00A41840">
            <w:pPr>
              <w:tabs>
                <w:tab w:val="left" w:pos="8640"/>
              </w:tabs>
              <w:rPr>
                <w:b/>
                <w:bCs/>
                <w:sz w:val="22"/>
                <w:szCs w:val="22"/>
              </w:rPr>
            </w:pPr>
          </w:p>
          <w:p w:rsidR="00683208" w:rsidRPr="00683208" w:rsidP="00683208">
            <w:pPr>
              <w:tabs>
                <w:tab w:val="left" w:pos="8640"/>
              </w:tabs>
              <w:rPr>
                <w:bCs/>
                <w:sz w:val="22"/>
                <w:szCs w:val="22"/>
              </w:rPr>
            </w:pPr>
            <w:r w:rsidRPr="00683208">
              <w:rPr>
                <w:b/>
                <w:bCs/>
                <w:sz w:val="22"/>
                <w:szCs w:val="22"/>
              </w:rPr>
              <w:t>Kari’s Law NPRM –</w:t>
            </w:r>
            <w:r w:rsidRPr="00683208">
              <w:rPr>
                <w:bCs/>
                <w:sz w:val="22"/>
                <w:szCs w:val="22"/>
              </w:rPr>
              <w:t xml:space="preserve"> The Commission will consider a Notice of Proposed Rulemaking addressing calls to 911 made from multi-line telephone systems, </w:t>
            </w:r>
            <w:r w:rsidR="00301A32">
              <w:rPr>
                <w:bCs/>
                <w:sz w:val="22"/>
                <w:szCs w:val="22"/>
              </w:rPr>
              <w:t>pursuant to</w:t>
            </w:r>
            <w:r w:rsidRPr="00683208">
              <w:rPr>
                <w:bCs/>
                <w:sz w:val="22"/>
                <w:szCs w:val="22"/>
              </w:rPr>
              <w:t xml:space="preserve"> Kari’s Law, the conveyance of dispatchable location with 911 calls, as directed by RAY BAUM’S Act, and </w:t>
            </w:r>
            <w:r w:rsidR="00301A32">
              <w:rPr>
                <w:bCs/>
                <w:sz w:val="22"/>
                <w:szCs w:val="22"/>
              </w:rPr>
              <w:t xml:space="preserve">the </w:t>
            </w:r>
            <w:r w:rsidRPr="00683208">
              <w:rPr>
                <w:bCs/>
                <w:sz w:val="22"/>
                <w:szCs w:val="22"/>
              </w:rPr>
              <w:t>consolidation of the Commission’s 911 rules.  (PS Docket Nos. 18-261, 17-239).</w:t>
            </w:r>
          </w:p>
          <w:p w:rsidR="00ED66B1" w:rsidP="00683208">
            <w:pPr>
              <w:tabs>
                <w:tab w:val="left" w:pos="8640"/>
              </w:tabs>
              <w:rPr>
                <w:bCs/>
                <w:sz w:val="22"/>
                <w:szCs w:val="22"/>
              </w:rPr>
            </w:pPr>
            <w:r w:rsidRPr="00683208">
              <w:rPr>
                <w:bCs/>
                <w:sz w:val="22"/>
                <w:szCs w:val="22"/>
              </w:rPr>
              <w:t xml:space="preserve"> </w:t>
            </w:r>
          </w:p>
          <w:p w:rsidR="006A3DE7" w:rsidRPr="006A3DE7" w:rsidP="006A3DE7">
            <w:pPr>
              <w:tabs>
                <w:tab w:val="left" w:pos="8640"/>
              </w:tabs>
              <w:rPr>
                <w:bCs/>
                <w:sz w:val="22"/>
                <w:szCs w:val="22"/>
              </w:rPr>
            </w:pPr>
            <w:bookmarkStart w:id="2" w:name="_Hlk523907596"/>
            <w:r w:rsidRPr="00ED66B1">
              <w:rPr>
                <w:b/>
                <w:bCs/>
                <w:sz w:val="22"/>
                <w:szCs w:val="22"/>
              </w:rPr>
              <w:t>Wireless Infrastructure Order</w:t>
            </w:r>
            <w:r w:rsidR="00ED66B1">
              <w:rPr>
                <w:bCs/>
                <w:sz w:val="22"/>
                <w:szCs w:val="22"/>
              </w:rPr>
              <w:t xml:space="preserve"> </w:t>
            </w:r>
            <w:bookmarkEnd w:id="2"/>
            <w:r w:rsidR="00ED66B1">
              <w:rPr>
                <w:bCs/>
                <w:sz w:val="22"/>
                <w:szCs w:val="22"/>
              </w:rPr>
              <w:t xml:space="preserve">– </w:t>
            </w:r>
            <w:r w:rsidRPr="00ED66B1" w:rsidR="00ED66B1">
              <w:rPr>
                <w:bCs/>
                <w:sz w:val="22"/>
                <w:szCs w:val="22"/>
              </w:rPr>
              <w:t>The Commission will consider a Declaratory Ruling and Report and Order that will clarify the scope and meaning of Sections 253 and 332(c)(7) of the Communications Act, establish shot clocks for state and local approvals for the deployment of small wireless facilities, and provide guidance on streamlining state and local requirements on wireless infrastructure deployment.  (WT Docket No. 17-79; WC Docket No. 17-84)</w:t>
            </w:r>
          </w:p>
          <w:p w:rsidR="003C224C" w:rsidP="003C224C">
            <w:pPr>
              <w:tabs>
                <w:tab w:val="left" w:pos="8640"/>
              </w:tabs>
              <w:rPr>
                <w:sz w:val="22"/>
                <w:szCs w:val="22"/>
              </w:rPr>
            </w:pPr>
          </w:p>
          <w:p w:rsidR="003C224C" w:rsidRPr="004E0545" w:rsidP="003C224C">
            <w:pPr>
              <w:tabs>
                <w:tab w:val="left" w:pos="8640"/>
              </w:tabs>
              <w:rPr>
                <w:sz w:val="22"/>
                <w:szCs w:val="22"/>
              </w:rPr>
            </w:pPr>
            <w:r w:rsidRPr="004E0545">
              <w:rPr>
                <w:b/>
                <w:sz w:val="22"/>
                <w:szCs w:val="22"/>
              </w:rPr>
              <w:t>Enforcement Bureau Action</w:t>
            </w:r>
            <w:r>
              <w:rPr>
                <w:sz w:val="22"/>
                <w:szCs w:val="22"/>
              </w:rPr>
              <w:t xml:space="preserve"> – </w:t>
            </w:r>
            <w:r w:rsidRPr="004E0545">
              <w:rPr>
                <w:sz w:val="22"/>
                <w:szCs w:val="22"/>
              </w:rPr>
              <w:t>The Commission will consider an enforcement action.</w:t>
            </w:r>
          </w:p>
          <w:p w:rsidR="003C224C" w:rsidP="00A41840">
            <w:pPr>
              <w:tabs>
                <w:tab w:val="left" w:pos="8640"/>
              </w:tabs>
              <w:rPr>
                <w:b/>
                <w:bCs/>
                <w:sz w:val="22"/>
                <w:szCs w:val="22"/>
              </w:rPr>
            </w:pPr>
          </w:p>
          <w:p w:rsidR="00E55C60" w:rsidP="004320A3">
            <w:pPr>
              <w:tabs>
                <w:tab w:val="left" w:pos="8640"/>
              </w:tabs>
              <w:rPr>
                <w:sz w:val="22"/>
                <w:szCs w:val="22"/>
              </w:rPr>
            </w:pPr>
            <w:r w:rsidRPr="004E0545">
              <w:rPr>
                <w:b/>
                <w:sz w:val="22"/>
                <w:szCs w:val="22"/>
              </w:rPr>
              <w:t>Enforcement Bureau Action</w:t>
            </w:r>
            <w:r>
              <w:rPr>
                <w:sz w:val="22"/>
                <w:szCs w:val="22"/>
              </w:rPr>
              <w:t xml:space="preserve"> – </w:t>
            </w:r>
            <w:r w:rsidRPr="004E0545">
              <w:rPr>
                <w:sz w:val="22"/>
                <w:szCs w:val="22"/>
              </w:rPr>
              <w:t>The Commission will consider an enforcement action.</w:t>
            </w:r>
            <w:bookmarkStart w:id="3" w:name="_Hlk523906436"/>
          </w:p>
          <w:p w:rsidR="00E55C60" w:rsidP="004320A3">
            <w:pPr>
              <w:tabs>
                <w:tab w:val="left" w:pos="8640"/>
              </w:tabs>
              <w:rPr>
                <w:sz w:val="22"/>
                <w:szCs w:val="22"/>
              </w:rPr>
            </w:pPr>
          </w:p>
          <w:p w:rsidR="004320A3" w:rsidRPr="00E55C60" w:rsidP="004320A3">
            <w:pPr>
              <w:tabs>
                <w:tab w:val="left" w:pos="8640"/>
              </w:tabs>
              <w:rPr>
                <w:sz w:val="22"/>
                <w:szCs w:val="22"/>
              </w:rPr>
            </w:pPr>
            <w:r w:rsidRPr="0057501B">
              <w:rPr>
                <w:b/>
                <w:bCs/>
                <w:sz w:val="22"/>
                <w:szCs w:val="22"/>
              </w:rPr>
              <w:t>Clarifying Local Franchising Authorities Regulation of Cable Operators</w:t>
            </w:r>
            <w:r>
              <w:rPr>
                <w:b/>
                <w:bCs/>
                <w:sz w:val="22"/>
                <w:szCs w:val="22"/>
              </w:rPr>
              <w:t xml:space="preserve"> </w:t>
            </w:r>
            <w:r>
              <w:rPr>
                <w:b/>
                <w:bCs/>
                <w:sz w:val="22"/>
                <w:szCs w:val="22"/>
              </w:rPr>
              <w:t xml:space="preserve">– </w:t>
            </w:r>
            <w:r w:rsidRPr="006A3DE7">
              <w:rPr>
                <w:bCs/>
                <w:sz w:val="22"/>
                <w:szCs w:val="22"/>
              </w:rPr>
              <w:t xml:space="preserve">The Commission will consider a Second Further Notice of Proposed Rulemaking addressing two issues raised by a remand from the </w:t>
            </w:r>
            <w:r w:rsidRPr="00301A32" w:rsidR="00301A32">
              <w:rPr>
                <w:bCs/>
                <w:sz w:val="22"/>
                <w:szCs w:val="22"/>
              </w:rPr>
              <w:t>U.S. Court of Appeals for the Sixth Circuit</w:t>
            </w:r>
            <w:r w:rsidR="00301A32">
              <w:rPr>
                <w:bCs/>
                <w:sz w:val="22"/>
                <w:szCs w:val="22"/>
              </w:rPr>
              <w:t xml:space="preserve"> </w:t>
            </w:r>
            <w:r w:rsidRPr="006A3DE7">
              <w:rPr>
                <w:bCs/>
                <w:sz w:val="22"/>
                <w:szCs w:val="22"/>
              </w:rPr>
              <w:t>concerning how local franchising authorities may regulate incumbent cable operators and cable television services.  (MB Docket No. 05-311)</w:t>
            </w:r>
          </w:p>
          <w:p w:rsidR="003C224C" w:rsidP="00A41840">
            <w:pPr>
              <w:tabs>
                <w:tab w:val="left" w:pos="8640"/>
              </w:tabs>
              <w:rPr>
                <w:b/>
                <w:bCs/>
                <w:sz w:val="22"/>
                <w:szCs w:val="22"/>
              </w:rPr>
            </w:pPr>
          </w:p>
          <w:p w:rsidR="0003103F" w:rsidP="00A41840">
            <w:pPr>
              <w:tabs>
                <w:tab w:val="left" w:pos="8640"/>
              </w:tabs>
              <w:rPr>
                <w:bCs/>
                <w:sz w:val="22"/>
                <w:szCs w:val="22"/>
              </w:rPr>
            </w:pPr>
            <w:r>
              <w:rPr>
                <w:b/>
                <w:bCs/>
                <w:sz w:val="22"/>
                <w:szCs w:val="22"/>
              </w:rPr>
              <w:t>Cable Data Collection</w:t>
            </w:r>
            <w:r w:rsidR="004320A3">
              <w:rPr>
                <w:b/>
                <w:bCs/>
                <w:sz w:val="22"/>
                <w:szCs w:val="22"/>
              </w:rPr>
              <w:t xml:space="preserve"> –</w:t>
            </w:r>
            <w:r w:rsidRPr="0003103F">
              <w:rPr>
                <w:b/>
                <w:bCs/>
                <w:sz w:val="22"/>
                <w:szCs w:val="22"/>
              </w:rPr>
              <w:t xml:space="preserve"> </w:t>
            </w:r>
            <w:r w:rsidRPr="0003103F">
              <w:rPr>
                <w:bCs/>
                <w:sz w:val="22"/>
                <w:szCs w:val="22"/>
              </w:rPr>
              <w:t>The Commission will consider a Report and Order that eliminates the Form 325, Annual Report of Cable Television Systems, filing requirement.</w:t>
            </w:r>
            <w:r>
              <w:rPr>
                <w:bCs/>
                <w:sz w:val="22"/>
                <w:szCs w:val="22"/>
              </w:rPr>
              <w:t xml:space="preserve"> </w:t>
            </w:r>
            <w:r w:rsidRPr="0003103F">
              <w:rPr>
                <w:bCs/>
                <w:sz w:val="22"/>
                <w:szCs w:val="22"/>
              </w:rPr>
              <w:t xml:space="preserve"> (MB Docket Nos. 17-290, 17-105)</w:t>
            </w:r>
          </w:p>
          <w:p w:rsidR="004320A3" w:rsidP="004320A3">
            <w:pPr>
              <w:tabs>
                <w:tab w:val="left" w:pos="8640"/>
              </w:tabs>
              <w:rPr>
                <w:b/>
                <w:bCs/>
                <w:sz w:val="22"/>
                <w:szCs w:val="22"/>
              </w:rPr>
            </w:pPr>
            <w:bookmarkEnd w:id="3"/>
          </w:p>
          <w:p w:rsidR="0014214F" w:rsidP="00ED66B1">
            <w:pPr>
              <w:tabs>
                <w:tab w:val="left" w:pos="8640"/>
              </w:tabs>
              <w:rPr>
                <w:bCs/>
                <w:sz w:val="22"/>
                <w:szCs w:val="22"/>
              </w:rPr>
            </w:pPr>
            <w:r w:rsidRPr="00ED66B1">
              <w:rPr>
                <w:b/>
                <w:bCs/>
                <w:sz w:val="22"/>
                <w:szCs w:val="22"/>
              </w:rPr>
              <w:t>Toll Free Assignment Modernization</w:t>
            </w:r>
            <w:r w:rsidRPr="00ED66B1">
              <w:rPr>
                <w:bCs/>
                <w:sz w:val="22"/>
                <w:szCs w:val="22"/>
              </w:rPr>
              <w:t xml:space="preserve"> </w:t>
            </w:r>
            <w:r>
              <w:rPr>
                <w:bCs/>
                <w:sz w:val="22"/>
                <w:szCs w:val="22"/>
              </w:rPr>
              <w:t xml:space="preserve">– </w:t>
            </w:r>
            <w:r w:rsidRPr="00301A32" w:rsidR="00301A32">
              <w:rPr>
                <w:bCs/>
                <w:sz w:val="22"/>
                <w:szCs w:val="22"/>
              </w:rPr>
              <w:t>The Com</w:t>
            </w:r>
            <w:r w:rsidR="00301A32">
              <w:rPr>
                <w:bCs/>
                <w:sz w:val="22"/>
                <w:szCs w:val="22"/>
              </w:rPr>
              <w:t>mission will consider a Report and</w:t>
            </w:r>
            <w:r w:rsidRPr="00301A32" w:rsidR="00301A32">
              <w:rPr>
                <w:bCs/>
                <w:sz w:val="22"/>
                <w:szCs w:val="22"/>
              </w:rPr>
              <w:t xml:space="preserve"> Order that will amend the Commission’s rules to allow for use of auctions to assign certain toll free numbers and takes other actions to modernize the administration and assignment of toll free numbers.  (WC Docket No. 17-192; CC Docket No 95-155)</w:t>
            </w:r>
          </w:p>
          <w:p w:rsidR="00ED66B1" w:rsidRPr="004320A3" w:rsidP="00ED66B1">
            <w:pPr>
              <w:tabs>
                <w:tab w:val="left" w:pos="8640"/>
              </w:tabs>
              <w:rPr>
                <w:bCs/>
                <w:sz w:val="22"/>
                <w:szCs w:val="22"/>
              </w:rPr>
            </w:pPr>
          </w:p>
          <w:p w:rsidR="0014214F" w:rsidRPr="0014214F" w:rsidP="0014214F">
            <w:pPr>
              <w:tabs>
                <w:tab w:val="left" w:pos="8640"/>
              </w:tabs>
              <w:rPr>
                <w:bCs/>
                <w:sz w:val="22"/>
                <w:szCs w:val="22"/>
              </w:rPr>
            </w:pPr>
            <w:r w:rsidRPr="0014214F">
              <w:rPr>
                <w:b/>
                <w:bCs/>
                <w:sz w:val="22"/>
                <w:szCs w:val="22"/>
              </w:rPr>
              <w:t xml:space="preserve">Satellite Earth Stations in Motion </w:t>
            </w:r>
            <w:r w:rsidR="00F30AF7">
              <w:rPr>
                <w:b/>
                <w:bCs/>
                <w:sz w:val="22"/>
                <w:szCs w:val="22"/>
              </w:rPr>
              <w:t xml:space="preserve">– </w:t>
            </w:r>
            <w:r w:rsidRPr="0014214F">
              <w:rPr>
                <w:bCs/>
                <w:sz w:val="22"/>
                <w:szCs w:val="22"/>
              </w:rPr>
              <w:t xml:space="preserve">The Commission will </w:t>
            </w:r>
            <w:r w:rsidR="00301A32">
              <w:rPr>
                <w:bCs/>
                <w:sz w:val="22"/>
                <w:szCs w:val="22"/>
              </w:rPr>
              <w:t>consider</w:t>
            </w:r>
            <w:r w:rsidRPr="0014214F">
              <w:rPr>
                <w:bCs/>
                <w:sz w:val="22"/>
                <w:szCs w:val="22"/>
              </w:rPr>
              <w:t xml:space="preserve"> action to facilitate the deployment of and harmonize the rules concerning three types of Fixed-Satellite Service earth stations authorize</w:t>
            </w:r>
            <w:r w:rsidR="00F30AF7">
              <w:rPr>
                <w:bCs/>
                <w:sz w:val="22"/>
                <w:szCs w:val="22"/>
              </w:rPr>
              <w:t>d to transmit while in motion: </w:t>
            </w:r>
            <w:r w:rsidRPr="0014214F">
              <w:rPr>
                <w:bCs/>
                <w:sz w:val="22"/>
                <w:szCs w:val="22"/>
              </w:rPr>
              <w:t>Earth Stations on Vessels, Vehicle-Mounted Earth Stations, and Earth Stations Aboard Aircraft.  (IB Docket No. 17-95)</w:t>
            </w:r>
          </w:p>
          <w:p w:rsidR="00A41840" w:rsidP="00A41840">
            <w:pPr>
              <w:tabs>
                <w:tab w:val="left" w:pos="8640"/>
              </w:tabs>
              <w:rPr>
                <w:sz w:val="22"/>
                <w:szCs w:val="22"/>
              </w:rPr>
            </w:pPr>
          </w:p>
          <w:p w:rsidR="002819BC" w:rsidRPr="00A41840" w:rsidP="00A41840">
            <w:pPr>
              <w:tabs>
                <w:tab w:val="left" w:pos="8640"/>
              </w:tabs>
              <w:rPr>
                <w:sz w:val="22"/>
                <w:szCs w:val="22"/>
              </w:rPr>
            </w:pPr>
          </w:p>
          <w:p w:rsidR="00D569AA" w:rsidRPr="00D569AA" w:rsidP="00D569AA">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w:t>
            </w:r>
            <w:r w:rsidRPr="00706807">
              <w:rPr>
                <w:bCs/>
                <w:sz w:val="22"/>
                <w:szCs w:val="22"/>
              </w:rPr>
              <w:t xml:space="preserve">Meeting.  </w:t>
            </w:r>
            <w:r w:rsidRPr="00706807" w:rsidR="00B03497">
              <w:rPr>
                <w:bCs/>
                <w:sz w:val="22"/>
                <w:szCs w:val="22"/>
              </w:rPr>
              <w:t xml:space="preserve">Drafts of items under consideration that involve specific, enforcement-related matters, which can include restricted proceedings and hearing designation orders, will not be publicly released.  </w:t>
            </w:r>
            <w:r w:rsidRPr="00706807">
              <w:rPr>
                <w:bCs/>
                <w:sz w:val="22"/>
                <w:szCs w:val="22"/>
              </w:rPr>
              <w:t>One-page cover sheets are included in the public drafts to help summarize each item.  All these</w:t>
            </w:r>
            <w:r w:rsidRPr="00D569AA">
              <w:rPr>
                <w:bCs/>
                <w:sz w:val="22"/>
                <w:szCs w:val="22"/>
              </w:rPr>
              <w:t xml:space="preserve"> materials will be available on the FCC’s Open Meeting page: </w:t>
            </w:r>
            <w:r>
              <w:fldChar w:fldCharType="begin"/>
            </w:r>
            <w:r>
              <w:instrText xml:space="preserve"> HYPERLINK "http://www.fcc.gov/openmeeting" </w:instrText>
            </w:r>
            <w:r>
              <w:fldChar w:fldCharType="separate"/>
            </w:r>
            <w:r w:rsidRPr="000B4CA4">
              <w:rPr>
                <w:rStyle w:val="Hyperlink"/>
                <w:sz w:val="22"/>
                <w:szCs w:val="22"/>
              </w:rPr>
              <w:t>www.fcc.gov/openmeeting</w:t>
            </w:r>
            <w:r>
              <w:fldChar w:fldCharType="end"/>
            </w:r>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r>
              <w:fldChar w:fldCharType="begin"/>
            </w:r>
            <w:r>
              <w:instrText xml:space="preserve"> HYPERLINK "http://www.fcc.gov/live" </w:instrText>
            </w:r>
            <w:r>
              <w:fldChar w:fldCharType="separate"/>
            </w:r>
            <w:r w:rsidRPr="000B4CA4">
              <w:rPr>
                <w:rStyle w:val="Hyperlink"/>
                <w:sz w:val="22"/>
                <w:szCs w:val="22"/>
              </w:rPr>
              <w:t>www.fcc.gov/live</w:t>
            </w:r>
            <w:r>
              <w:fldChar w:fldCharType="end"/>
            </w:r>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E644FE" w:rsidRPr="006B0A70" w:rsidP="00B47F70">
            <w:pPr>
              <w:ind w:right="72"/>
              <w:jc w:val="center"/>
              <w:rPr>
                <w:b/>
                <w:bCs/>
                <w:sz w:val="18"/>
                <w:szCs w:val="18"/>
              </w:rPr>
            </w:pPr>
            <w:bookmarkEnd w:id="0"/>
            <w:bookmarkEnd w:id="1"/>
            <w:r w:rsidRPr="00641CD8">
              <w:rPr>
                <w:b/>
                <w:bCs/>
                <w:sz w:val="22"/>
                <w:szCs w:val="22"/>
              </w:rPr>
              <w:br/>
            </w:r>
            <w:r w:rsidRPr="006B0A70">
              <w:rPr>
                <w:b/>
                <w:bCs/>
                <w:sz w:val="18"/>
                <w:szCs w:val="18"/>
              </w:rPr>
              <w:t>Office of Media Relations: 202.418.0500</w:t>
            </w:r>
          </w:p>
          <w:p w:rsidR="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P="00B47F70">
            <w:pPr>
              <w:ind w:right="72"/>
              <w:jc w:val="center"/>
              <w:rPr>
                <w:b/>
                <w:bCs/>
                <w:sz w:val="18"/>
                <w:szCs w:val="18"/>
              </w:rPr>
            </w:pPr>
            <w:r>
              <w:rPr>
                <w:b/>
                <w:bCs/>
                <w:sz w:val="18"/>
                <w:szCs w:val="18"/>
              </w:rPr>
              <w:t>Twitter: @FCC</w:t>
            </w:r>
          </w:p>
          <w:p w:rsidR="002819BC" w:rsidP="00B47F70">
            <w:pPr>
              <w:ind w:right="72"/>
              <w:jc w:val="center"/>
              <w:rPr>
                <w:b/>
                <w:bCs/>
                <w:sz w:val="18"/>
                <w:szCs w:val="18"/>
              </w:rPr>
            </w:pPr>
            <w:r>
              <w:rPr>
                <w:b/>
                <w:bCs/>
                <w:sz w:val="18"/>
                <w:szCs w:val="18"/>
              </w:rPr>
              <w:t>#OpenMtgFCC</w:t>
            </w:r>
          </w:p>
          <w:p w:rsidR="002819BC" w:rsidRPr="00EE0E90" w:rsidP="00B47F70">
            <w:pPr>
              <w:ind w:right="72"/>
              <w:jc w:val="center"/>
              <w:rPr>
                <w:b/>
                <w:bCs/>
                <w:sz w:val="18"/>
                <w:szCs w:val="18"/>
              </w:rPr>
            </w:pPr>
            <w:r>
              <w:rPr>
                <w:b/>
                <w:bCs/>
                <w:sz w:val="18"/>
                <w:szCs w:val="18"/>
              </w:rPr>
              <w:t>www.fcc.gov/</w:t>
            </w:r>
            <w:r w:rsidRPr="007B3A48">
              <w:rPr>
                <w:b/>
                <w:bCs/>
                <w:sz w:val="18"/>
                <w:szCs w:val="18"/>
              </w:rPr>
              <w:t>media-relations</w:t>
            </w:r>
          </w:p>
          <w:p w:rsidR="00EE0E90" w:rsidP="00B47F70">
            <w:pPr>
              <w:ind w:right="72"/>
              <w:jc w:val="center"/>
              <w:rPr>
                <w:b/>
                <w:bCs/>
                <w:sz w:val="18"/>
                <w:szCs w:val="18"/>
              </w:rPr>
            </w:pPr>
          </w:p>
          <w:p w:rsidR="00EE0E90" w:rsidRPr="00986C92"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P="00142C13">
            <w:pPr>
              <w:ind w:left="360" w:right="498"/>
              <w:jc w:val="center"/>
              <w:rPr>
                <w:b/>
                <w:bCs/>
                <w:sz w:val="18"/>
                <w:szCs w:val="18"/>
              </w:rPr>
            </w:pP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