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rsidP="00AD0838">
      <w:pPr>
        <w:pStyle w:val="BodyText"/>
        <w:tabs>
          <w:tab w:val="left" w:pos="4680"/>
          <w:tab w:val="left" w:pos="5400"/>
        </w:tabs>
        <w:rPr>
          <w:szCs w:val="22"/>
        </w:rPr>
      </w:pPr>
      <w:r w:rsidRPr="00822BD6">
        <w:rPr>
          <w:szCs w:val="22"/>
        </w:rPr>
        <w:t>In the Matter of</w:t>
      </w:r>
      <w:r w:rsidRPr="00822BD6">
        <w:rPr>
          <w:szCs w:val="22"/>
        </w:rPr>
        <w:tab/>
        <w:t>)</w:t>
      </w:r>
    </w:p>
    <w:p w:rsidR="00354D4C" w:rsidRPr="00822BD6" w:rsidP="00AD0838">
      <w:pPr>
        <w:tabs>
          <w:tab w:val="left" w:pos="4680"/>
          <w:tab w:val="left" w:pos="5400"/>
        </w:tabs>
        <w:spacing w:line="226" w:lineRule="auto"/>
        <w:rPr>
          <w:sz w:val="22"/>
          <w:szCs w:val="22"/>
        </w:rPr>
      </w:pPr>
      <w:r w:rsidRPr="00822BD6">
        <w:rPr>
          <w:sz w:val="22"/>
          <w:szCs w:val="22"/>
        </w:rPr>
        <w:tab/>
        <w:t>)</w:t>
      </w:r>
    </w:p>
    <w:p w:rsidR="0002201F" w:rsidRPr="00A902A9" w:rsidP="00AD0838">
      <w:pPr>
        <w:tabs>
          <w:tab w:val="left" w:pos="4680"/>
          <w:tab w:val="left" w:pos="5400"/>
        </w:tabs>
        <w:spacing w:line="226" w:lineRule="auto"/>
        <w:jc w:val="both"/>
        <w:rPr>
          <w:sz w:val="22"/>
          <w:szCs w:val="22"/>
        </w:rPr>
      </w:pPr>
      <w:r w:rsidRPr="001D084F">
        <w:rPr>
          <w:sz w:val="22"/>
          <w:szCs w:val="22"/>
        </w:rPr>
        <w:t>New Jersey Natural Gas Company</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1D084F">
        <w:rPr>
          <w:bCs/>
          <w:sz w:val="22"/>
          <w:szCs w:val="22"/>
        </w:rPr>
        <w:t>EB-FIELDNER-18-00026278</w:t>
      </w:r>
    </w:p>
    <w:p w:rsidR="00B61C91" w:rsidRPr="00822BD6" w:rsidP="00AD0838">
      <w:pPr>
        <w:tabs>
          <w:tab w:val="left" w:pos="4680"/>
          <w:tab w:val="left" w:pos="5400"/>
          <w:tab w:val="left" w:pos="6480"/>
        </w:tabs>
        <w:spacing w:line="226" w:lineRule="auto"/>
        <w:jc w:val="both"/>
        <w:rPr>
          <w:szCs w:val="22"/>
        </w:rPr>
      </w:pPr>
      <w:r>
        <w:rPr>
          <w:sz w:val="22"/>
          <w:szCs w:val="22"/>
        </w:rPr>
        <w:t xml:space="preserve">Licensee </w:t>
      </w:r>
      <w:r w:rsidR="00E237AA">
        <w:rPr>
          <w:sz w:val="22"/>
          <w:szCs w:val="22"/>
        </w:rPr>
        <w:t xml:space="preserve">of Station </w:t>
      </w:r>
      <w:bookmarkStart w:id="0" w:name="_Hlk524689169"/>
      <w:r w:rsidRPr="001D084F" w:rsidR="001D084F">
        <w:rPr>
          <w:sz w:val="22"/>
          <w:szCs w:val="22"/>
        </w:rPr>
        <w:t>WQOS285</w:t>
      </w:r>
      <w:bookmarkEnd w:id="0"/>
      <w:r w:rsidRPr="00822BD6" w:rsidR="0015777C">
        <w:rPr>
          <w:sz w:val="22"/>
          <w:szCs w:val="22"/>
        </w:rPr>
        <w:tab/>
        <w:t>)</w:t>
      </w:r>
    </w:p>
    <w:p w:rsidR="000A3AC7" w:rsidP="00AD0838">
      <w:pPr>
        <w:pStyle w:val="BodyText2"/>
        <w:tabs>
          <w:tab w:val="left" w:pos="4680"/>
          <w:tab w:val="left" w:pos="5400"/>
        </w:tabs>
        <w:spacing w:line="226" w:lineRule="auto"/>
        <w:rPr>
          <w:szCs w:val="22"/>
        </w:rPr>
      </w:pPr>
      <w:r>
        <w:rPr>
          <w:szCs w:val="22"/>
        </w:rPr>
        <w:tab/>
        <w:t>)</w:t>
      </w:r>
    </w:p>
    <w:p w:rsidR="00354D4C" w:rsidRPr="00A902A9" w:rsidP="00AD0838">
      <w:pPr>
        <w:pStyle w:val="BodyText2"/>
        <w:tabs>
          <w:tab w:val="left" w:pos="4680"/>
          <w:tab w:val="left" w:pos="5400"/>
        </w:tabs>
        <w:spacing w:line="226" w:lineRule="auto"/>
        <w:rPr>
          <w:szCs w:val="22"/>
        </w:rPr>
      </w:pPr>
      <w:r w:rsidRPr="00822BD6">
        <w:rPr>
          <w:szCs w:val="22"/>
        </w:rPr>
        <w:tab/>
      </w:r>
      <w:r w:rsidRPr="009876B2">
        <w:rPr>
          <w:szCs w:val="22"/>
        </w:rPr>
        <w:t>)</w:t>
      </w:r>
      <w:r>
        <w:rPr>
          <w:szCs w:val="22"/>
        </w:rPr>
        <w:tab/>
      </w:r>
    </w:p>
    <w:p w:rsidR="000A3AC7" w:rsidP="00AD0838">
      <w:pPr>
        <w:pStyle w:val="BodyText2"/>
        <w:tabs>
          <w:tab w:val="left" w:pos="4680"/>
          <w:tab w:val="left" w:pos="5400"/>
          <w:tab w:val="left" w:pos="6120"/>
        </w:tabs>
        <w:spacing w:line="226" w:lineRule="auto"/>
        <w:rPr>
          <w:szCs w:val="22"/>
        </w:rPr>
      </w:pPr>
      <w:r>
        <w:rPr>
          <w:szCs w:val="22"/>
        </w:rPr>
        <w:tab/>
        <w:t>)</w:t>
      </w:r>
    </w:p>
    <w:p w:rsidR="00354D4C" w:rsidRPr="009876B2" w:rsidP="00AD0838">
      <w:pPr>
        <w:pStyle w:val="BodyText2"/>
        <w:tabs>
          <w:tab w:val="left" w:pos="4680"/>
          <w:tab w:val="left" w:pos="5400"/>
        </w:tabs>
        <w:spacing w:line="226" w:lineRule="auto"/>
        <w:rPr>
          <w:szCs w:val="22"/>
        </w:rPr>
      </w:pPr>
      <w:r>
        <w:rPr>
          <w:szCs w:val="22"/>
        </w:rPr>
        <w:t>Wall</w:t>
      </w:r>
      <w:r w:rsidR="00E237AA">
        <w:rPr>
          <w:szCs w:val="22"/>
        </w:rPr>
        <w:t xml:space="preserve">, </w:t>
      </w:r>
      <w:r>
        <w:rPr>
          <w:szCs w:val="22"/>
        </w:rPr>
        <w:t>New Jersey</w:t>
      </w:r>
      <w:r w:rsidRPr="009876B2" w:rsidR="009876B2">
        <w:rPr>
          <w:color w:val="FF0000"/>
          <w:szCs w:val="22"/>
        </w:rPr>
        <w:tab/>
      </w:r>
      <w:r w:rsidRPr="00B42F55" w:rsidR="009876B2">
        <w:rPr>
          <w:szCs w:val="22"/>
        </w:rPr>
        <w:t>)</w:t>
      </w:r>
    </w:p>
    <w:p w:rsidR="00354D4C" w:rsidRPr="009876B2" w:rsidP="00AD0838">
      <w:pPr>
        <w:tabs>
          <w:tab w:val="center" w:pos="4680"/>
          <w:tab w:val="left" w:pos="5400"/>
        </w:tabs>
        <w:spacing w:line="226" w:lineRule="auto"/>
        <w:jc w:val="both"/>
        <w:rPr>
          <w:sz w:val="22"/>
          <w:szCs w:val="22"/>
        </w:rPr>
      </w:pPr>
    </w:p>
    <w:p w:rsidR="00354D4C" w:rsidRPr="009876B2" w:rsidP="00AD0838">
      <w:pPr>
        <w:tabs>
          <w:tab w:val="center" w:pos="4680"/>
          <w:tab w:val="left" w:pos="5400"/>
        </w:tabs>
        <w:spacing w:line="226" w:lineRule="auto"/>
        <w:jc w:val="both"/>
        <w:rPr>
          <w:sz w:val="22"/>
          <w:szCs w:val="22"/>
        </w:rPr>
      </w:pPr>
    </w:p>
    <w:p w:rsidR="00354D4C" w:rsidRPr="009876B2" w:rsidP="00AD0838">
      <w:pPr>
        <w:pStyle w:val="Title"/>
        <w:tabs>
          <w:tab w:val="left" w:pos="5400"/>
        </w:tabs>
        <w:rPr>
          <w:sz w:val="22"/>
          <w:szCs w:val="22"/>
        </w:rPr>
      </w:pPr>
      <w:r w:rsidRPr="009876B2">
        <w:rPr>
          <w:sz w:val="22"/>
          <w:szCs w:val="22"/>
        </w:rPr>
        <w:t>NOTICE OF VIOLATION</w:t>
      </w:r>
    </w:p>
    <w:p w:rsidR="00354D4C" w:rsidRPr="009876B2" w:rsidP="00AD0838">
      <w:pPr>
        <w:tabs>
          <w:tab w:val="left" w:pos="5400"/>
          <w:tab w:val="left" w:pos="6480"/>
        </w:tabs>
        <w:rPr>
          <w:b/>
          <w:sz w:val="22"/>
          <w:szCs w:val="22"/>
        </w:rPr>
      </w:pPr>
    </w:p>
    <w:p w:rsidR="00AE04A5" w:rsidP="00AD0838">
      <w:pPr>
        <w:pStyle w:val="Subtitle"/>
        <w:tabs>
          <w:tab w:val="left" w:pos="5400"/>
        </w:tabs>
        <w:jc w:val="left"/>
        <w:rPr>
          <w:szCs w:val="22"/>
        </w:rPr>
      </w:pPr>
      <w:r w:rsidRPr="009876B2">
        <w:rPr>
          <w:szCs w:val="22"/>
        </w:rPr>
        <w:tab/>
      </w:r>
    </w:p>
    <w:p w:rsidR="00AD0838" w:rsidP="00AD0838">
      <w:pPr>
        <w:pStyle w:val="Subtitle"/>
        <w:tabs>
          <w:tab w:val="left" w:pos="5400"/>
          <w:tab w:val="left" w:pos="6300"/>
          <w:tab w:val="clear" w:pos="6480"/>
        </w:tabs>
        <w:jc w:val="left"/>
        <w:rPr>
          <w:szCs w:val="22"/>
        </w:rPr>
      </w:pPr>
      <w:r>
        <w:rPr>
          <w:szCs w:val="22"/>
        </w:rPr>
        <w:tab/>
      </w:r>
      <w:r w:rsidRPr="00D90F3B" w:rsidR="00354D4C">
        <w:rPr>
          <w:szCs w:val="22"/>
        </w:rPr>
        <w:t xml:space="preserve">Released: </w:t>
      </w:r>
      <w:r>
        <w:rPr>
          <w:szCs w:val="22"/>
        </w:rPr>
        <w:t>September 1</w:t>
      </w:r>
      <w:r w:rsidR="00B25B20">
        <w:rPr>
          <w:szCs w:val="22"/>
        </w:rPr>
        <w:t>9</w:t>
      </w:r>
      <w:bookmarkStart w:id="1" w:name="_GoBack"/>
      <w:bookmarkEnd w:id="1"/>
      <w:r>
        <w:rPr>
          <w:szCs w:val="22"/>
        </w:rPr>
        <w:t>, 2018</w:t>
      </w:r>
    </w:p>
    <w:p w:rsidR="00354D4C" w:rsidRPr="009876B2" w:rsidP="00AD0838">
      <w:pPr>
        <w:tabs>
          <w:tab w:val="left" w:pos="540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10D69">
        <w:rPr>
          <w:sz w:val="22"/>
          <w:szCs w:val="22"/>
        </w:rPr>
        <w:t xml:space="preserve">gional Director, Region </w:t>
      </w:r>
      <w:r w:rsidR="006C107E">
        <w:rPr>
          <w:sz w:val="22"/>
          <w:szCs w:val="22"/>
        </w:rPr>
        <w:t>One</w:t>
      </w:r>
      <w:r w:rsidR="00CA5EF0">
        <w:rPr>
          <w:sz w:val="22"/>
          <w:szCs w:val="22"/>
        </w:rPr>
        <w:t>,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Pr="006C107E" w:rsidR="006C107E">
        <w:rPr>
          <w:szCs w:val="22"/>
        </w:rPr>
        <w:t>New Jersey Natural Gas Company</w:t>
      </w:r>
      <w:r w:rsidR="00A111DB">
        <w:rPr>
          <w:szCs w:val="22"/>
        </w:rPr>
        <w:t xml:space="preserve"> (Natural Gas)</w:t>
      </w:r>
      <w:r w:rsidR="00511455">
        <w:rPr>
          <w:szCs w:val="22"/>
        </w:rPr>
        <w:t>,</w:t>
      </w:r>
      <w:r w:rsidR="006377FF">
        <w:rPr>
          <w:szCs w:val="22"/>
        </w:rPr>
        <w:t xml:space="preserve"> </w:t>
      </w:r>
      <w:r w:rsidR="008D55CB">
        <w:rPr>
          <w:szCs w:val="22"/>
        </w:rPr>
        <w:t>licensee of</w:t>
      </w:r>
      <w:r w:rsidR="004217A3">
        <w:rPr>
          <w:szCs w:val="22"/>
        </w:rPr>
        <w:t xml:space="preserve"> </w:t>
      </w:r>
      <w:r w:rsidR="00915E91">
        <w:rPr>
          <w:szCs w:val="22"/>
        </w:rPr>
        <w:t xml:space="preserve">Private </w:t>
      </w:r>
      <w:r w:rsidR="006C107E">
        <w:rPr>
          <w:szCs w:val="22"/>
        </w:rPr>
        <w:t xml:space="preserve">Land Mobile Station </w:t>
      </w:r>
      <w:r w:rsidRPr="006C107E" w:rsidR="006C107E">
        <w:rPr>
          <w:szCs w:val="22"/>
        </w:rPr>
        <w:t>WQOS285</w:t>
      </w:r>
      <w:r w:rsidR="00C34A25">
        <w:rPr>
          <w:szCs w:val="22"/>
        </w:rPr>
        <w:t xml:space="preserve"> </w:t>
      </w:r>
      <w:r w:rsidRPr="009379B7" w:rsidR="00915E91">
        <w:rPr>
          <w:szCs w:val="22"/>
        </w:rPr>
        <w:t>operating at various location in New Jersey including Rockaway, New Jersey.</w:t>
      </w:r>
      <w:r w:rsidR="00915E91">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6C107E">
        <w:rPr>
          <w:rFonts w:ascii="Times New Roman" w:hAnsi="Times New Roman"/>
          <w:sz w:val="22"/>
          <w:szCs w:val="22"/>
        </w:rPr>
        <w:t>February 21</w:t>
      </w:r>
      <w:r w:rsidR="00915E91">
        <w:rPr>
          <w:rFonts w:ascii="Times New Roman" w:hAnsi="Times New Roman"/>
          <w:sz w:val="22"/>
          <w:szCs w:val="22"/>
        </w:rPr>
        <w:t xml:space="preserve"> and </w:t>
      </w:r>
      <w:r w:rsidR="006C107E">
        <w:rPr>
          <w:rFonts w:ascii="Times New Roman" w:hAnsi="Times New Roman"/>
          <w:sz w:val="22"/>
          <w:szCs w:val="22"/>
        </w:rPr>
        <w:t xml:space="preserve">28, </w:t>
      </w:r>
      <w:r w:rsidR="00915E91">
        <w:rPr>
          <w:rFonts w:ascii="Times New Roman" w:hAnsi="Times New Roman"/>
          <w:sz w:val="22"/>
          <w:szCs w:val="22"/>
        </w:rPr>
        <w:t xml:space="preserve">2018, </w:t>
      </w:r>
      <w:r w:rsidR="006C107E">
        <w:rPr>
          <w:rFonts w:ascii="Times New Roman" w:hAnsi="Times New Roman"/>
          <w:sz w:val="22"/>
          <w:szCs w:val="22"/>
        </w:rPr>
        <w:t>and June 20</w:t>
      </w:r>
      <w:r w:rsidR="00C34A25">
        <w:rPr>
          <w:rFonts w:ascii="Times New Roman" w:hAnsi="Times New Roman"/>
          <w:sz w:val="22"/>
          <w:szCs w:val="22"/>
        </w:rPr>
        <w:t>, 2018</w:t>
      </w:r>
      <w:r>
        <w:rPr>
          <w:rFonts w:ascii="Times New Roman" w:hAnsi="Times New Roman"/>
          <w:sz w:val="22"/>
          <w:szCs w:val="22"/>
        </w:rPr>
        <w:t xml:space="preserve">, </w:t>
      </w:r>
      <w:r w:rsidR="00CA5EF0">
        <w:rPr>
          <w:rFonts w:ascii="Times New Roman" w:hAnsi="Times New Roman"/>
          <w:sz w:val="22"/>
          <w:szCs w:val="22"/>
        </w:rPr>
        <w:t xml:space="preserve">in response to </w:t>
      </w:r>
      <w:r w:rsidR="00705979">
        <w:rPr>
          <w:rFonts w:ascii="Times New Roman" w:hAnsi="Times New Roman"/>
          <w:sz w:val="22"/>
          <w:szCs w:val="22"/>
        </w:rPr>
        <w:t>a complaint</w:t>
      </w:r>
      <w:r w:rsidR="006C107E">
        <w:rPr>
          <w:rFonts w:ascii="Times New Roman" w:hAnsi="Times New Roman"/>
          <w:sz w:val="22"/>
          <w:szCs w:val="22"/>
        </w:rPr>
        <w:t xml:space="preserve"> of harmful interference</w:t>
      </w:r>
      <w:r w:rsidR="00705979">
        <w:rPr>
          <w:rFonts w:ascii="Times New Roman" w:hAnsi="Times New Roman"/>
          <w:sz w:val="22"/>
          <w:szCs w:val="22"/>
        </w:rPr>
        <w:t xml:space="preserve">, </w:t>
      </w:r>
      <w:r w:rsidR="00C34A25">
        <w:rPr>
          <w:rFonts w:ascii="Times New Roman" w:hAnsi="Times New Roman"/>
          <w:sz w:val="22"/>
          <w:szCs w:val="22"/>
        </w:rPr>
        <w:t xml:space="preserve">an Agent </w:t>
      </w:r>
      <w:r w:rsidR="00705979">
        <w:rPr>
          <w:rFonts w:ascii="Times New Roman" w:hAnsi="Times New Roman"/>
          <w:sz w:val="22"/>
          <w:szCs w:val="22"/>
        </w:rPr>
        <w:t xml:space="preserve">of the Enforcement Bureau’s </w:t>
      </w:r>
      <w:r w:rsidR="006C107E">
        <w:rPr>
          <w:rFonts w:ascii="Times New Roman" w:hAnsi="Times New Roman"/>
          <w:sz w:val="22"/>
          <w:szCs w:val="22"/>
        </w:rPr>
        <w:t>New York</w:t>
      </w:r>
      <w:r w:rsidR="00705979">
        <w:rPr>
          <w:rFonts w:ascii="Times New Roman" w:hAnsi="Times New Roman"/>
          <w:sz w:val="22"/>
          <w:szCs w:val="22"/>
        </w:rPr>
        <w:t xml:space="preserve"> </w:t>
      </w:r>
      <w:r w:rsidR="006C107E">
        <w:rPr>
          <w:rFonts w:ascii="Times New Roman" w:hAnsi="Times New Roman"/>
          <w:sz w:val="22"/>
          <w:szCs w:val="22"/>
        </w:rPr>
        <w:t xml:space="preserve">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F65089" w:rsidRPr="00F65089" w:rsidP="00A902A9">
      <w:pPr>
        <w:numPr>
          <w:ilvl w:val="0"/>
          <w:numId w:val="12"/>
        </w:numPr>
        <w:tabs>
          <w:tab w:val="left" w:pos="1800"/>
        </w:tabs>
        <w:ind w:left="1800" w:right="720" w:hanging="540"/>
        <w:rPr>
          <w:sz w:val="22"/>
          <w:szCs w:val="22"/>
        </w:rPr>
      </w:pPr>
      <w:r w:rsidRPr="006C107E">
        <w:rPr>
          <w:sz w:val="22"/>
          <w:szCs w:val="22"/>
        </w:rPr>
        <w:t xml:space="preserve">47 C.F.R. § 90.425(a):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If the station is employing either analog or digital voice scrambling, or non-voice emission, transmission of the required identification shall be in the unscrambled mode using A3E, F3E or G3E emission, or International Morse, with all encoding disabled.”  On </w:t>
      </w:r>
      <w:r>
        <w:rPr>
          <w:sz w:val="22"/>
          <w:szCs w:val="22"/>
        </w:rPr>
        <w:t xml:space="preserve">February </w:t>
      </w:r>
      <w:r>
        <w:rPr>
          <w:sz w:val="22"/>
          <w:szCs w:val="22"/>
        </w:rPr>
        <w:t xml:space="preserve">21 and 28, </w:t>
      </w:r>
      <w:r w:rsidR="00915E91">
        <w:rPr>
          <w:sz w:val="22"/>
          <w:szCs w:val="22"/>
        </w:rPr>
        <w:t xml:space="preserve">2018 </w:t>
      </w:r>
      <w:r>
        <w:rPr>
          <w:sz w:val="22"/>
          <w:szCs w:val="22"/>
        </w:rPr>
        <w:t>and June 20, 2018</w:t>
      </w:r>
      <w:r w:rsidRPr="006C107E">
        <w:rPr>
          <w:sz w:val="22"/>
          <w:szCs w:val="22"/>
        </w:rPr>
        <w:t>, the agent monitored the frequency 15</w:t>
      </w:r>
      <w:r>
        <w:rPr>
          <w:sz w:val="22"/>
          <w:szCs w:val="22"/>
        </w:rPr>
        <w:t>9</w:t>
      </w:r>
      <w:r w:rsidRPr="006C107E">
        <w:rPr>
          <w:sz w:val="22"/>
          <w:szCs w:val="22"/>
        </w:rPr>
        <w:t>.</w:t>
      </w:r>
      <w:r>
        <w:rPr>
          <w:sz w:val="22"/>
          <w:szCs w:val="22"/>
        </w:rPr>
        <w:t>5925</w:t>
      </w:r>
      <w:r w:rsidRPr="006C107E">
        <w:rPr>
          <w:sz w:val="22"/>
          <w:szCs w:val="22"/>
        </w:rPr>
        <w:t xml:space="preserve"> MHz and observed that Station </w:t>
      </w:r>
      <w:r w:rsidRPr="006C107E" w:rsidR="00A111DB">
        <w:rPr>
          <w:szCs w:val="22"/>
        </w:rPr>
        <w:t>WQOS285</w:t>
      </w:r>
      <w:r w:rsidRPr="006C107E">
        <w:rPr>
          <w:sz w:val="22"/>
          <w:szCs w:val="22"/>
        </w:rPr>
        <w:t xml:space="preserve"> did not transmit the assigned call sign.</w:t>
      </w:r>
    </w:p>
    <w:p w:rsidR="00F65089" w:rsidRPr="00F65089" w:rsidP="00F65089">
      <w:pPr>
        <w:tabs>
          <w:tab w:val="left" w:pos="1800"/>
        </w:tabs>
        <w:ind w:left="1800" w:right="720"/>
        <w:rPr>
          <w:sz w:val="22"/>
          <w:szCs w:val="22"/>
        </w:rPr>
      </w:pPr>
    </w:p>
    <w:p w:rsidR="00A111DB" w:rsidRPr="00362A46" w:rsidP="00A111DB">
      <w:pPr>
        <w:numPr>
          <w:ilvl w:val="0"/>
          <w:numId w:val="12"/>
        </w:numPr>
        <w:tabs>
          <w:tab w:val="left" w:pos="1800"/>
        </w:tabs>
        <w:ind w:left="1800" w:right="720" w:hanging="540"/>
        <w:rPr>
          <w:sz w:val="22"/>
          <w:szCs w:val="22"/>
        </w:rPr>
      </w:pPr>
      <w:r w:rsidRPr="00A111DB">
        <w:rPr>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w:t>
      </w:r>
      <w:r>
        <w:rPr>
          <w:sz w:val="22"/>
          <w:szCs w:val="22"/>
        </w:rPr>
        <w:t xml:space="preserve"> </w:t>
      </w:r>
      <w:r w:rsidRPr="00A111DB">
        <w:rPr>
          <w:sz w:val="22"/>
          <w:szCs w:val="22"/>
        </w:rPr>
        <w:t xml:space="preserve">At the time of inspection, </w:t>
      </w:r>
      <w:r>
        <w:rPr>
          <w:sz w:val="22"/>
          <w:szCs w:val="22"/>
        </w:rPr>
        <w:t>Natural Gas</w:t>
      </w:r>
      <w:r w:rsidRPr="00A111DB">
        <w:rPr>
          <w:sz w:val="22"/>
          <w:szCs w:val="22"/>
        </w:rPr>
        <w:t xml:space="preserve"> was transmitting data on the frequency </w:t>
      </w:r>
      <w:r w:rsidRPr="006C107E">
        <w:rPr>
          <w:sz w:val="22"/>
          <w:szCs w:val="22"/>
        </w:rPr>
        <w:t>15</w:t>
      </w:r>
      <w:r>
        <w:rPr>
          <w:sz w:val="22"/>
          <w:szCs w:val="22"/>
        </w:rPr>
        <w:t>9</w:t>
      </w:r>
      <w:r w:rsidRPr="006C107E">
        <w:rPr>
          <w:sz w:val="22"/>
          <w:szCs w:val="22"/>
        </w:rPr>
        <w:t>.</w:t>
      </w:r>
      <w:r>
        <w:rPr>
          <w:sz w:val="22"/>
          <w:szCs w:val="22"/>
        </w:rPr>
        <w:t>5925</w:t>
      </w:r>
      <w:r w:rsidRPr="00A111DB">
        <w:rPr>
          <w:sz w:val="22"/>
          <w:szCs w:val="22"/>
        </w:rPr>
        <w:t xml:space="preserve"> MHz using a Motorola MOTOTRBO transmitter.  The license for station WQOS285 only authorizes voice (FXE) on the frequency </w:t>
      </w:r>
      <w:r w:rsidRPr="006C107E">
        <w:rPr>
          <w:sz w:val="22"/>
          <w:szCs w:val="22"/>
        </w:rPr>
        <w:t>15</w:t>
      </w:r>
      <w:r>
        <w:rPr>
          <w:sz w:val="22"/>
          <w:szCs w:val="22"/>
        </w:rPr>
        <w:t>9</w:t>
      </w:r>
      <w:r w:rsidRPr="006C107E">
        <w:rPr>
          <w:sz w:val="22"/>
          <w:szCs w:val="22"/>
        </w:rPr>
        <w:t>.</w:t>
      </w:r>
      <w:r>
        <w:rPr>
          <w:sz w:val="22"/>
          <w:szCs w:val="22"/>
        </w:rPr>
        <w:t>5925</w:t>
      </w:r>
      <w:r w:rsidRPr="00A111DB">
        <w:rPr>
          <w:sz w:val="22"/>
          <w:szCs w:val="22"/>
        </w:rPr>
        <w:t xml:space="preserve"> MHz</w:t>
      </w:r>
      <w:r w:rsidRPr="00362A46">
        <w:rPr>
          <w:sz w:val="22"/>
          <w:szCs w:val="22"/>
        </w:rPr>
        <w:t>.</w:t>
      </w:r>
      <w:r>
        <w:rPr>
          <w:rStyle w:val="FootnoteReference"/>
          <w:szCs w:val="22"/>
        </w:rPr>
        <w:footnoteReference w:id="4"/>
      </w:r>
    </w:p>
    <w:p w:rsidR="00B80784" w:rsidP="00A902A9">
      <w:pPr>
        <w:ind w:left="1620" w:right="720" w:hanging="54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5"/>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 </w:t>
      </w:r>
      <w:r w:rsidRPr="00A111DB" w:rsidR="00A111DB">
        <w:rPr>
          <w:sz w:val="22"/>
          <w:szCs w:val="22"/>
        </w:rPr>
        <w:t>New Jersey Natural Gas Company</w:t>
      </w:r>
      <w:r w:rsidRPr="00AB7F9B">
        <w:rPr>
          <w:sz w:val="22"/>
          <w:szCs w:val="22"/>
        </w:rPr>
        <w:t xml:space="preserve"> 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6"/>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w:t>
      </w:r>
      <w:r w:rsidRPr="00A111DB" w:rsidR="00A111DB">
        <w:rPr>
          <w:szCs w:val="22"/>
        </w:rPr>
        <w:t>New Jersey Natural Gas Company</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Pr="00A111DB" w:rsidR="00A111DB">
        <w:rPr>
          <w:szCs w:val="22"/>
        </w:rPr>
        <w:t>New Jersey Natural Gas Company</w:t>
      </w:r>
      <w:r w:rsidRPr="00AB7F9B">
        <w:rPr>
          <w:szCs w:val="22"/>
        </w:rPr>
        <w:t xml:space="preserve"> with personal knowledge of the representations provided in </w:t>
      </w:r>
      <w:r w:rsidRPr="001D084F" w:rsidR="00A111DB">
        <w:rPr>
          <w:szCs w:val="22"/>
        </w:rPr>
        <w:t>New Jersey Natural Gas Company</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7"/>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 xml:space="preserve">All replies and documentation sent in response to this Notice should be marked with the </w:t>
      </w:r>
      <w:r w:rsidRPr="00361B87">
        <w:rPr>
          <w:szCs w:val="22"/>
        </w:rPr>
        <w:t>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A33369" w:rsidRPr="005D2A72" w:rsidP="00A33369">
      <w:pPr>
        <w:keepNext/>
        <w:keepLines/>
        <w:ind w:left="2520"/>
        <w:rPr>
          <w:sz w:val="22"/>
          <w:szCs w:val="22"/>
        </w:rPr>
      </w:pPr>
      <w:r>
        <w:rPr>
          <w:sz w:val="22"/>
          <w:szCs w:val="22"/>
        </w:rPr>
        <w:t>F</w:t>
      </w:r>
      <w:r w:rsidRPr="005D2A72">
        <w:rPr>
          <w:sz w:val="22"/>
          <w:szCs w:val="22"/>
        </w:rPr>
        <w:t>ederal Communications Commission</w:t>
      </w:r>
    </w:p>
    <w:p w:rsidR="00A33369" w:rsidRPr="004A1598" w:rsidP="00A33369">
      <w:pPr>
        <w:tabs>
          <w:tab w:val="left" w:pos="-1440"/>
        </w:tabs>
        <w:ind w:left="2520"/>
        <w:rPr>
          <w:sz w:val="22"/>
          <w:szCs w:val="22"/>
        </w:rPr>
      </w:pPr>
      <w:r w:rsidRPr="004A1598">
        <w:rPr>
          <w:sz w:val="22"/>
          <w:szCs w:val="22"/>
        </w:rPr>
        <w:t>Columbia Regional Office</w:t>
      </w:r>
    </w:p>
    <w:p w:rsidR="00A33369" w:rsidP="00A33369">
      <w:pPr>
        <w:tabs>
          <w:tab w:val="left" w:pos="-1440"/>
        </w:tabs>
        <w:ind w:left="2520"/>
        <w:rPr>
          <w:sz w:val="22"/>
          <w:szCs w:val="22"/>
        </w:rPr>
      </w:pPr>
      <w:r>
        <w:rPr>
          <w:sz w:val="22"/>
          <w:szCs w:val="22"/>
        </w:rPr>
        <w:t>P.O. Box 130</w:t>
      </w:r>
    </w:p>
    <w:p w:rsidR="00E77737" w:rsidP="00A33369">
      <w:pPr>
        <w:keepNext/>
        <w:keepLines/>
        <w:ind w:left="2520"/>
        <w:rPr>
          <w:sz w:val="22"/>
          <w:szCs w:val="22"/>
        </w:rPr>
      </w:pPr>
      <w:r>
        <w:rPr>
          <w:sz w:val="22"/>
          <w:szCs w:val="22"/>
        </w:rPr>
        <w:t>Columbia, Maryland  20145</w:t>
      </w:r>
    </w:p>
    <w:p w:rsidR="00F66A8F"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Pr="00A111DB" w:rsidR="00A111DB">
        <w:rPr>
          <w:szCs w:val="22"/>
        </w:rPr>
        <w:t>New Jersey Natural Gas Company</w:t>
      </w:r>
      <w:r w:rsidR="00FE2A9C">
        <w:rPr>
          <w:szCs w:val="22"/>
        </w:rPr>
        <w:t xml:space="preserve"> a</w:t>
      </w:r>
      <w:r w:rsidRPr="00361B87" w:rsidR="003359C4">
        <w:rPr>
          <w:szCs w:val="22"/>
        </w:rPr>
        <w:t xml:space="preserve">t </w:t>
      </w:r>
      <w:r w:rsidRPr="00361B87" w:rsidR="00FB5092">
        <w:rPr>
          <w:szCs w:val="22"/>
        </w:rPr>
        <w:t>its</w:t>
      </w:r>
      <w:r w:rsidRPr="00361B87">
        <w:rPr>
          <w:szCs w:val="22"/>
        </w:rPr>
        <w:t xml:space="preserve"> address of record</w:t>
      </w:r>
      <w:r w:rsidR="00F2204A">
        <w:rPr>
          <w:szCs w:val="22"/>
        </w:rPr>
        <w:t>.</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9"/>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A33369" w:rsidRPr="00D01FB5" w:rsidP="00A33369">
      <w:pPr>
        <w:pStyle w:val="Header"/>
        <w:ind w:firstLine="4680"/>
        <w:rPr>
          <w:sz w:val="22"/>
          <w:szCs w:val="22"/>
        </w:rPr>
      </w:pPr>
      <w:r w:rsidRPr="00D01FB5">
        <w:rPr>
          <w:sz w:val="22"/>
          <w:szCs w:val="22"/>
        </w:rPr>
        <w:t>David C. Dombrowski</w:t>
      </w:r>
    </w:p>
    <w:p w:rsidR="00A33369" w:rsidRPr="00D01FB5" w:rsidP="00A33369">
      <w:pPr>
        <w:pStyle w:val="Header"/>
        <w:ind w:firstLine="4680"/>
        <w:rPr>
          <w:sz w:val="22"/>
          <w:szCs w:val="22"/>
        </w:rPr>
      </w:pPr>
      <w:r w:rsidRPr="00D01FB5">
        <w:rPr>
          <w:sz w:val="22"/>
          <w:szCs w:val="22"/>
        </w:rPr>
        <w:t>Regional Director</w:t>
      </w:r>
    </w:p>
    <w:p w:rsidR="00A33369" w:rsidRPr="00D01FB5" w:rsidP="00A33369">
      <w:pPr>
        <w:pStyle w:val="Header"/>
        <w:ind w:firstLine="4680"/>
        <w:rPr>
          <w:sz w:val="22"/>
          <w:szCs w:val="22"/>
        </w:rPr>
      </w:pPr>
      <w:r w:rsidRPr="00D01FB5">
        <w:rPr>
          <w:sz w:val="22"/>
          <w:szCs w:val="22"/>
        </w:rPr>
        <w:t>Region One</w:t>
      </w:r>
    </w:p>
    <w:p w:rsidR="00A33369" w:rsidRPr="00D01FB5" w:rsidP="00A33369">
      <w:pPr>
        <w:pStyle w:val="Header"/>
        <w:ind w:firstLine="4680"/>
        <w:rPr>
          <w:sz w:val="22"/>
          <w:szCs w:val="22"/>
        </w:rPr>
      </w:pPr>
      <w:r w:rsidRPr="00D01FB5">
        <w:rPr>
          <w:sz w:val="22"/>
          <w:szCs w:val="22"/>
        </w:rPr>
        <w:t>Enforcement Bureau</w:t>
      </w:r>
    </w:p>
    <w:p w:rsidR="00E77737" w:rsidRPr="003A1A53" w:rsidP="00A33369">
      <w:pPr>
        <w:ind w:firstLine="4680"/>
        <w:rPr>
          <w:sz w:val="22"/>
          <w:szCs w:val="22"/>
        </w:rPr>
      </w:pPr>
      <w:r w:rsidRPr="00D01FB5">
        <w:rPr>
          <w:sz w:val="22"/>
          <w:szCs w:val="22"/>
        </w:rPr>
        <w:t>Federal Communications Commission</w:t>
      </w:r>
      <w:r w:rsidRPr="003A1A53">
        <w:rPr>
          <w:sz w:val="22"/>
          <w:szCs w:val="22"/>
        </w:rPr>
        <w:t xml:space="preserve"> </w:t>
      </w:r>
    </w:p>
    <w:p w:rsidR="00D94108" w:rsidRPr="004238C5" w:rsidP="00E77737">
      <w:pPr>
        <w:ind w:firstLine="4680"/>
        <w:rPr>
          <w:sz w:val="22"/>
          <w:szCs w:val="22"/>
        </w:rPr>
      </w:pP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rsidRPr="00450EC2" w:rsidP="00450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rsidRPr="00450EC2" w:rsidP="00450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0877">
      <w:r>
        <w:separator/>
      </w:r>
    </w:p>
  </w:footnote>
  <w:footnote w:type="continuationSeparator" w:id="1">
    <w:p w:rsidR="00270877">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452D7A">
      <w:pPr>
        <w:pStyle w:val="FootnoteText"/>
      </w:pPr>
      <w:r>
        <w:rPr>
          <w:rStyle w:val="FootnoteReference"/>
        </w:rPr>
        <w:footnoteRef/>
      </w:r>
      <w:r>
        <w:t xml:space="preserve"> </w:t>
      </w:r>
      <w:r w:rsidR="00681DD1">
        <w:t>E</w:t>
      </w:r>
      <w:r w:rsidRPr="009379B7" w:rsidR="002C25BE">
        <w:t>mission designator</w:t>
      </w:r>
      <w:r w:rsidR="00681DD1">
        <w:t xml:space="preserve">s ending in “E” only authorized voice communications.  Emission designators ending in “D” authorize data communications.  </w:t>
      </w:r>
      <w:r w:rsidR="00A56CF0">
        <w:t xml:space="preserve">  </w:t>
      </w:r>
      <w:r w:rsidR="004456DB">
        <w:t>See 47 CFR §§</w:t>
      </w:r>
      <w:r w:rsidRPr="004456DB" w:rsidR="004456DB">
        <w:t>2.201</w:t>
      </w:r>
      <w:r w:rsidR="000E5870">
        <w:t xml:space="preserve">, </w:t>
      </w:r>
      <w:r w:rsidRPr="004456DB" w:rsidR="004456DB">
        <w:t>90.207</w:t>
      </w:r>
      <w:r w:rsidR="000E5870">
        <w:t xml:space="preserve">. </w:t>
      </w:r>
      <w:r w:rsidR="00681DD1">
        <w:t xml:space="preserve"> The authorization for WQOS285 only contains emission designators ending in “E,” and therefore does not permit data communications.</w:t>
      </w:r>
    </w:p>
    <w:p w:rsidR="00450EC2">
      <w:pPr>
        <w:pStyle w:val="FootnoteText"/>
      </w:pPr>
    </w:p>
  </w:footnote>
  <w:footnote w:id="5">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6">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7">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9">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0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rsidRPr="00450EC2" w:rsidP="00450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rsidRPr="00450EC2" w:rsidP="00450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 w:type="character" w:styleId="Hyperlink">
    <w:name w:val="Hyperlink"/>
    <w:basedOn w:val="DefaultParagraphFont"/>
    <w:uiPriority w:val="99"/>
    <w:unhideWhenUsed/>
    <w:rsid w:val="00E77737"/>
    <w:rPr>
      <w:color w:val="0000FF"/>
      <w:u w:val="single"/>
    </w:rPr>
  </w:style>
  <w:style w:type="paragraph" w:styleId="NormalWeb">
    <w:name w:val="Normal (Web)"/>
    <w:basedOn w:val="Normal"/>
    <w:uiPriority w:val="99"/>
    <w:unhideWhenUsed/>
    <w:rsid w:val="00F65089"/>
    <w:pPr>
      <w:spacing w:before="100" w:beforeAutospacing="1" w:after="100" w:afterAutospacing="1"/>
    </w:pPr>
    <w:rPr>
      <w:sz w:val="24"/>
      <w:szCs w:val="24"/>
    </w:rPr>
  </w:style>
  <w:style w:type="paragraph" w:customStyle="1" w:styleId="psection-1">
    <w:name w:val="psection-1"/>
    <w:basedOn w:val="Normal"/>
    <w:rsid w:val="00A1626A"/>
    <w:pPr>
      <w:spacing w:before="100" w:beforeAutospacing="1" w:after="100" w:afterAutospacing="1"/>
    </w:pPr>
    <w:rPr>
      <w:sz w:val="24"/>
      <w:szCs w:val="24"/>
    </w:rPr>
  </w:style>
  <w:style w:type="character" w:customStyle="1" w:styleId="enumxml">
    <w:name w:val="enumxml"/>
    <w:basedOn w:val="DefaultParagraphFont"/>
    <w:rsid w:val="00A1626A"/>
  </w:style>
  <w:style w:type="character" w:customStyle="1" w:styleId="UnresolvedMention">
    <w:name w:val="Unresolved Mention"/>
    <w:basedOn w:val="DefaultParagraphFont"/>
    <w:uiPriority w:val="99"/>
    <w:semiHidden/>
    <w:unhideWhenUsed/>
    <w:rsid w:val="00681D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