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tbl>
      <w:tblPr>
        <w:tblW w:w="0" w:type="auto"/>
        <w:tblLook w:val="0000"/>
      </w:tblPr>
      <w:tblGrid>
        <w:gridCol w:w="8886"/>
      </w:tblGrid>
      <w:tr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RPr="00B032FD" w:rsidP="006A7D75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B032FD">
              <w:rPr>
                <w:b/>
                <w:i/>
                <w:noProof/>
                <w:sz w:val="22"/>
                <w:szCs w:val="22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B032FD" w:rsidP="00B57131">
            <w:pPr>
              <w:rPr>
                <w:b/>
                <w:bCs/>
                <w:sz w:val="22"/>
                <w:szCs w:val="22"/>
              </w:rPr>
            </w:pPr>
          </w:p>
          <w:p w:rsidR="007A44F8" w:rsidRPr="00B032FD" w:rsidP="00BB4E29">
            <w:pPr>
              <w:rPr>
                <w:b/>
                <w:bCs/>
                <w:sz w:val="22"/>
                <w:szCs w:val="22"/>
              </w:rPr>
            </w:pPr>
            <w:r w:rsidRPr="00B032FD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B032FD" w:rsidP="00BB4E29">
            <w:pPr>
              <w:rPr>
                <w:bCs/>
                <w:sz w:val="22"/>
                <w:szCs w:val="22"/>
              </w:rPr>
            </w:pPr>
            <w:r w:rsidRPr="00B032FD">
              <w:rPr>
                <w:bCs/>
                <w:sz w:val="22"/>
                <w:szCs w:val="22"/>
              </w:rPr>
              <w:t>Cecilia Sulhoff</w:t>
            </w:r>
            <w:r w:rsidRPr="00B032FD">
              <w:rPr>
                <w:bCs/>
                <w:sz w:val="22"/>
                <w:szCs w:val="22"/>
              </w:rPr>
              <w:t xml:space="preserve">, </w:t>
            </w:r>
            <w:r w:rsidRPr="00B032FD" w:rsidR="00AC0A38">
              <w:rPr>
                <w:bCs/>
                <w:sz w:val="22"/>
                <w:szCs w:val="22"/>
              </w:rPr>
              <w:t>(</w:t>
            </w:r>
            <w:r w:rsidRPr="00B032FD">
              <w:rPr>
                <w:bCs/>
                <w:sz w:val="22"/>
                <w:szCs w:val="22"/>
              </w:rPr>
              <w:t>202</w:t>
            </w:r>
            <w:r w:rsidRPr="00B032FD" w:rsidR="00AC0A38">
              <w:rPr>
                <w:bCs/>
                <w:sz w:val="22"/>
                <w:szCs w:val="22"/>
              </w:rPr>
              <w:t xml:space="preserve">) </w:t>
            </w:r>
            <w:r w:rsidRPr="00B032FD">
              <w:rPr>
                <w:bCs/>
                <w:sz w:val="22"/>
                <w:szCs w:val="22"/>
              </w:rPr>
              <w:t>418-0</w:t>
            </w:r>
            <w:r w:rsidRPr="00B032FD">
              <w:rPr>
                <w:bCs/>
                <w:sz w:val="22"/>
                <w:szCs w:val="22"/>
              </w:rPr>
              <w:t>587</w:t>
            </w:r>
          </w:p>
          <w:p w:rsidR="00FF232D" w:rsidRPr="00B032FD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</w:t>
            </w:r>
            <w:r w:rsidRPr="00B032FD" w:rsidR="00AA1173">
              <w:rPr>
                <w:bCs/>
                <w:sz w:val="22"/>
                <w:szCs w:val="22"/>
              </w:rPr>
              <w:t>ecilia.sulhoff</w:t>
            </w:r>
            <w:r w:rsidRPr="00B032FD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B032FD" w:rsidP="00BB4E29">
            <w:pPr>
              <w:rPr>
                <w:bCs/>
                <w:sz w:val="22"/>
                <w:szCs w:val="22"/>
              </w:rPr>
            </w:pPr>
          </w:p>
          <w:p w:rsidR="007A44F8" w:rsidRPr="00B032FD" w:rsidP="00BB4E29">
            <w:pPr>
              <w:rPr>
                <w:b/>
                <w:sz w:val="22"/>
                <w:szCs w:val="22"/>
              </w:rPr>
            </w:pPr>
            <w:r w:rsidRPr="00B032FD">
              <w:rPr>
                <w:b/>
                <w:sz w:val="22"/>
                <w:szCs w:val="22"/>
              </w:rPr>
              <w:t>For Immediate Release</w:t>
            </w:r>
          </w:p>
          <w:p w:rsidR="007A44F8" w:rsidRPr="00B032FD" w:rsidP="00BB4E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F722C" w:rsidP="005567CA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032FD">
              <w:rPr>
                <w:b/>
                <w:bCs/>
                <w:sz w:val="26"/>
                <w:szCs w:val="26"/>
              </w:rPr>
              <w:t xml:space="preserve">FCC </w:t>
            </w:r>
            <w:r w:rsidRPr="00B032FD" w:rsidR="00491C37">
              <w:rPr>
                <w:b/>
                <w:bCs/>
                <w:sz w:val="26"/>
                <w:szCs w:val="26"/>
              </w:rPr>
              <w:t>FACILITATE</w:t>
            </w:r>
            <w:r>
              <w:rPr>
                <w:b/>
                <w:bCs/>
                <w:sz w:val="26"/>
                <w:szCs w:val="26"/>
              </w:rPr>
              <w:t>S</w:t>
            </w:r>
            <w:r w:rsidRPr="00B032FD" w:rsidR="00491C37">
              <w:rPr>
                <w:b/>
                <w:bCs/>
                <w:sz w:val="26"/>
                <w:szCs w:val="26"/>
              </w:rPr>
              <w:t xml:space="preserve"> DEPLOYMENT OF </w:t>
            </w:r>
            <w:r w:rsidRPr="00B032FD" w:rsidR="00246519">
              <w:rPr>
                <w:b/>
                <w:bCs/>
                <w:sz w:val="26"/>
                <w:szCs w:val="26"/>
              </w:rPr>
              <w:t xml:space="preserve">WIRELESS </w:t>
            </w:r>
          </w:p>
          <w:p w:rsidR="000E049E" w:rsidRPr="00B032FD" w:rsidP="005567CA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INFRASTRUCTURE </w:t>
            </w:r>
            <w:r w:rsidR="00B3017A">
              <w:rPr>
                <w:b/>
                <w:bCs/>
                <w:sz w:val="26"/>
                <w:szCs w:val="26"/>
              </w:rPr>
              <w:t xml:space="preserve">FOR 5G </w:t>
            </w:r>
            <w:r>
              <w:rPr>
                <w:b/>
                <w:bCs/>
                <w:sz w:val="26"/>
                <w:szCs w:val="26"/>
              </w:rPr>
              <w:t>CONNECTIVITY</w:t>
            </w:r>
          </w:p>
          <w:p w:rsidR="00CC5E08" w:rsidRPr="00B032FD" w:rsidP="00040127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Action R</w:t>
            </w:r>
            <w:r w:rsidRPr="00B032FD" w:rsidR="00246519">
              <w:rPr>
                <w:b/>
                <w:bCs/>
                <w:i/>
              </w:rPr>
              <w:t>emoves</w:t>
            </w:r>
            <w:r w:rsidR="005F4ED9">
              <w:rPr>
                <w:b/>
                <w:bCs/>
                <w:i/>
              </w:rPr>
              <w:t xml:space="preserve"> Regulatory</w:t>
            </w:r>
            <w:r w:rsidRPr="00B032FD" w:rsidR="00246519">
              <w:rPr>
                <w:b/>
                <w:bCs/>
                <w:i/>
              </w:rPr>
              <w:t xml:space="preserve"> Barriers to Infrastructure Investment</w:t>
            </w:r>
          </w:p>
          <w:p w:rsidR="00F61155" w:rsidRPr="00B032F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2"/>
                <w:szCs w:val="22"/>
              </w:rPr>
            </w:pPr>
            <w:r w:rsidRPr="00B032FD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Pr="00B032FD">
              <w:rPr>
                <w:b/>
                <w:bCs/>
                <w:i/>
                <w:color w:val="F2F2F2" w:themeColor="background1" w:themeShade="F2"/>
                <w:sz w:val="22"/>
                <w:szCs w:val="22"/>
              </w:rPr>
              <w:t>--</w:t>
            </w:r>
            <w:r w:rsidRPr="00B032FD" w:rsidR="00347716">
              <w:rPr>
                <w:b/>
                <w:bCs/>
                <w:i/>
                <w:color w:val="F2F2F2" w:themeColor="background1" w:themeShade="F2"/>
                <w:sz w:val="22"/>
                <w:szCs w:val="22"/>
              </w:rPr>
              <w:t xml:space="preserve"> </w:t>
            </w:r>
          </w:p>
          <w:p w:rsidR="007E1308" w:rsidRPr="00B032FD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B032FD">
              <w:rPr>
                <w:sz w:val="22"/>
                <w:szCs w:val="22"/>
              </w:rPr>
              <w:t xml:space="preserve">WASHINGTON, </w:t>
            </w:r>
            <w:r w:rsidRPr="00B032FD" w:rsidR="00246519">
              <w:rPr>
                <w:sz w:val="22"/>
                <w:szCs w:val="22"/>
              </w:rPr>
              <w:t>September 26</w:t>
            </w:r>
            <w:r w:rsidRPr="00B032FD" w:rsidR="00065E2D">
              <w:rPr>
                <w:sz w:val="22"/>
                <w:szCs w:val="22"/>
              </w:rPr>
              <w:t>, 2018</w:t>
            </w:r>
            <w:r w:rsidRPr="00B032FD" w:rsidR="00D861EE">
              <w:rPr>
                <w:sz w:val="22"/>
                <w:szCs w:val="22"/>
              </w:rPr>
              <w:t>—</w:t>
            </w:r>
            <w:r w:rsidR="00965CF6">
              <w:rPr>
                <w:sz w:val="22"/>
                <w:szCs w:val="22"/>
              </w:rPr>
              <w:t>Today, t</w:t>
            </w:r>
            <w:r w:rsidRPr="00B032FD" w:rsidR="000E049E">
              <w:rPr>
                <w:sz w:val="22"/>
                <w:szCs w:val="22"/>
              </w:rPr>
              <w:t xml:space="preserve">he Federal Communications Commission </w:t>
            </w:r>
            <w:r w:rsidR="00916275">
              <w:rPr>
                <w:sz w:val="22"/>
                <w:szCs w:val="22"/>
              </w:rPr>
              <w:t xml:space="preserve">took </w:t>
            </w:r>
            <w:r w:rsidR="00F77E1E">
              <w:rPr>
                <w:sz w:val="22"/>
                <w:szCs w:val="22"/>
              </w:rPr>
              <w:t xml:space="preserve">another important step in </w:t>
            </w:r>
            <w:r w:rsidR="00DD5D53">
              <w:rPr>
                <w:sz w:val="22"/>
                <w:szCs w:val="22"/>
              </w:rPr>
              <w:t xml:space="preserve">its </w:t>
            </w:r>
            <w:r w:rsidRPr="004C2FC7" w:rsidR="00436CAF">
              <w:rPr>
                <w:sz w:val="22"/>
                <w:szCs w:val="22"/>
              </w:rPr>
              <w:t>ongoing efforts to remove regulatory barriers that inhibit the deployment of</w:t>
            </w:r>
            <w:r w:rsidRPr="004C2FC7" w:rsidR="00965CF6">
              <w:rPr>
                <w:sz w:val="22"/>
                <w:szCs w:val="22"/>
              </w:rPr>
              <w:t xml:space="preserve"> </w:t>
            </w:r>
            <w:r w:rsidRPr="004C2FC7" w:rsidR="00436CAF">
              <w:rPr>
                <w:sz w:val="22"/>
                <w:szCs w:val="22"/>
              </w:rPr>
              <w:t xml:space="preserve">infrastructure necessary </w:t>
            </w:r>
            <w:r w:rsidR="00BA20D3">
              <w:rPr>
                <w:sz w:val="22"/>
                <w:szCs w:val="22"/>
              </w:rPr>
              <w:t>for</w:t>
            </w:r>
            <w:r w:rsidRPr="004C2FC7" w:rsidR="00436CAF">
              <w:rPr>
                <w:sz w:val="22"/>
                <w:szCs w:val="22"/>
              </w:rPr>
              <w:t xml:space="preserve"> </w:t>
            </w:r>
            <w:r w:rsidR="001F58FA">
              <w:rPr>
                <w:sz w:val="22"/>
                <w:szCs w:val="22"/>
              </w:rPr>
              <w:t xml:space="preserve">5G and other advanced </w:t>
            </w:r>
            <w:r w:rsidRPr="004C2FC7" w:rsidR="00965CF6">
              <w:rPr>
                <w:sz w:val="22"/>
                <w:szCs w:val="22"/>
              </w:rPr>
              <w:t>wireless services</w:t>
            </w:r>
            <w:r w:rsidRPr="00B032FD" w:rsidR="00246519">
              <w:rPr>
                <w:sz w:val="22"/>
                <w:szCs w:val="22"/>
              </w:rPr>
              <w:t xml:space="preserve">.  This </w:t>
            </w:r>
            <w:r w:rsidRPr="00B032FD">
              <w:rPr>
                <w:sz w:val="22"/>
                <w:szCs w:val="22"/>
              </w:rPr>
              <w:t>action</w:t>
            </w:r>
            <w:r w:rsidR="00965CF6">
              <w:rPr>
                <w:sz w:val="22"/>
                <w:szCs w:val="22"/>
              </w:rPr>
              <w:t xml:space="preserve">, which </w:t>
            </w:r>
            <w:r w:rsidRPr="004C2FC7" w:rsidR="00965CF6">
              <w:rPr>
                <w:sz w:val="22"/>
                <w:szCs w:val="22"/>
              </w:rPr>
              <w:t>builds upon those already taken by states and localities to streamline deployment,</w:t>
            </w:r>
            <w:r w:rsidRPr="00B032FD">
              <w:rPr>
                <w:sz w:val="22"/>
                <w:szCs w:val="22"/>
              </w:rPr>
              <w:t xml:space="preserve"> </w:t>
            </w:r>
            <w:r w:rsidR="00965CF6">
              <w:rPr>
                <w:sz w:val="22"/>
                <w:szCs w:val="22"/>
              </w:rPr>
              <w:t xml:space="preserve">underscores the FCC’s </w:t>
            </w:r>
            <w:r w:rsidRPr="004C2FC7" w:rsidR="00965CF6">
              <w:rPr>
                <w:sz w:val="22"/>
                <w:szCs w:val="22"/>
              </w:rPr>
              <w:t>commitment to ensuring that the United States wins the global race to 5G</w:t>
            </w:r>
            <w:r w:rsidRPr="00B032FD">
              <w:rPr>
                <w:sz w:val="22"/>
                <w:szCs w:val="22"/>
              </w:rPr>
              <w:t>.</w:t>
            </w:r>
          </w:p>
          <w:p w:rsidR="007E1308" w:rsidRPr="00B032FD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BF722C" w:rsidP="005567CA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color w:val="auto"/>
                <w:sz w:val="22"/>
                <w:szCs w:val="22"/>
                <w:u w:val="none"/>
              </w:rPr>
              <w:t>The first part</w:t>
            </w:r>
            <w:r w:rsidR="001F58FA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of the Commission’s decision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>, a</w:t>
            </w:r>
            <w:r w:rsidRPr="00B032FD" w:rsidR="007E1308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Declaratory Ruling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>, focus</w:t>
            </w:r>
            <w:r w:rsidR="00B3017A">
              <w:rPr>
                <w:rStyle w:val="Hyperlink"/>
                <w:color w:val="auto"/>
                <w:sz w:val="22"/>
                <w:szCs w:val="22"/>
                <w:u w:val="none"/>
              </w:rPr>
              <w:t>es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primarily on local fees for the authorizations necessary to deploy small wireless facilities.  Specifically, the Declaratory Ruling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: </w:t>
            </w:r>
          </w:p>
          <w:p w:rsidR="00BF722C" w:rsidP="005567CA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BF722C" w:rsidRPr="00965CF6" w:rsidP="0070787A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Explains when a state or local regulation of wireless infrastructure deployment constitutes an effective prohibition of service prohibited by </w:t>
            </w:r>
            <w:r w:rsidRPr="00337246">
              <w:rPr>
                <w:rFonts w:ascii="Times New Roman" w:hAnsi="Times New Roman" w:cs="Times New Roman"/>
              </w:rPr>
              <w:t xml:space="preserve">Sections 253 </w:t>
            </w:r>
            <w:r>
              <w:rPr>
                <w:rFonts w:ascii="Times New Roman" w:hAnsi="Times New Roman" w:cs="Times New Roman"/>
              </w:rPr>
              <w:t>or</w:t>
            </w:r>
            <w:r w:rsidRPr="00337246">
              <w:rPr>
                <w:rFonts w:ascii="Times New Roman" w:hAnsi="Times New Roman" w:cs="Times New Roman"/>
              </w:rPr>
              <w:t xml:space="preserve"> 332(c)(7) of the </w:t>
            </w:r>
            <w:r>
              <w:rPr>
                <w:rFonts w:ascii="Times New Roman" w:hAnsi="Times New Roman" w:cs="Times New Roman"/>
              </w:rPr>
              <w:t>C</w:t>
            </w:r>
            <w:r w:rsidRPr="00337246">
              <w:rPr>
                <w:rFonts w:ascii="Times New Roman" w:hAnsi="Times New Roman" w:cs="Times New Roman"/>
              </w:rPr>
              <w:t>ommunications Act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F722C" w:rsidP="007078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Concludes that Section 253 and 332(c)(7) limit state and local governments to charging fees that are no greater than </w:t>
            </w:r>
            <w:r w:rsidRPr="00562F87">
              <w:rPr>
                <w:rFonts w:ascii="Times New Roman" w:hAnsi="Times New Roman" w:cs="Times New Roman"/>
              </w:rPr>
              <w:t>a reasonable approximation of</w:t>
            </w:r>
            <w:r>
              <w:rPr>
                <w:rFonts w:ascii="Times New Roman" w:hAnsi="Times New Roman" w:cs="Times New Roman"/>
              </w:rPr>
              <w:t xml:space="preserve"> objectively reasonable </w:t>
            </w:r>
            <w:r w:rsidRPr="00562F87">
              <w:rPr>
                <w:rFonts w:ascii="Times New Roman" w:hAnsi="Times New Roman" w:cs="Times New Roman"/>
              </w:rPr>
              <w:t>costs</w:t>
            </w:r>
            <w:r>
              <w:rPr>
                <w:rFonts w:ascii="Times New Roman" w:hAnsi="Times New Roman" w:cs="Times New Roman"/>
              </w:rPr>
              <w:t xml:space="preserve"> for processing applications and for managing deployments in the rights-of-way</w:t>
            </w:r>
            <w:r w:rsidRPr="00562F87">
              <w:rPr>
                <w:rFonts w:ascii="Times New Roman" w:hAnsi="Times New Roman" w:cs="Times New Roman"/>
              </w:rPr>
              <w:t xml:space="preserve">.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F722C" w:rsidRPr="00B84180" w:rsidP="007078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Removes uncertainty by identifying specific fee levels for small wireless facility deployments that presumably comply with the relevant standard; and</w:t>
            </w:r>
          </w:p>
          <w:p w:rsidR="00BF722C" w:rsidRPr="00B032FD" w:rsidP="0070787A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Provides guidance on when </w:t>
            </w:r>
            <w:r w:rsidRPr="00AA02E7">
              <w:rPr>
                <w:rFonts w:ascii="Times New Roman" w:hAnsi="Times New Roman" w:cs="Times New Roman"/>
              </w:rPr>
              <w:t>certain state and local non-fee requirements</w:t>
            </w:r>
            <w:r>
              <w:rPr>
                <w:rFonts w:ascii="Times New Roman" w:hAnsi="Times New Roman" w:cs="Times New Roman"/>
              </w:rPr>
              <w:t xml:space="preserve"> that are allowed under the Act—such as </w:t>
            </w:r>
            <w:r w:rsidRPr="00AA02E7">
              <w:rPr>
                <w:rFonts w:ascii="Times New Roman" w:hAnsi="Times New Roman" w:cs="Times New Roman"/>
              </w:rPr>
              <w:t>aesthetic and undergrounding requirements</w:t>
            </w:r>
            <w:r>
              <w:rPr>
                <w:rFonts w:ascii="Times New Roman" w:hAnsi="Times New Roman" w:cs="Times New Roman"/>
              </w:rPr>
              <w:t>—may constitute an effective prohibition of service.</w:t>
            </w:r>
          </w:p>
          <w:p w:rsidR="007E1308" w:rsidRPr="00B032FD" w:rsidP="005567CA"/>
          <w:p w:rsidR="007E1308" w:rsidP="007E1308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color w:val="auto"/>
                <w:sz w:val="22"/>
                <w:szCs w:val="22"/>
                <w:u w:val="none"/>
              </w:rPr>
              <w:t>The second part</w:t>
            </w:r>
            <w:r w:rsidR="001F58FA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of the Commission’s decision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>, t</w:t>
            </w:r>
            <w:r w:rsidRPr="00B032FD">
              <w:rPr>
                <w:rStyle w:val="Hyperlink"/>
                <w:color w:val="auto"/>
                <w:sz w:val="22"/>
                <w:szCs w:val="22"/>
                <w:u w:val="none"/>
              </w:rPr>
              <w:t>he Third Report &amp; Order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in the Wireless Infrastructure Docket</w:t>
            </w:r>
            <w:r w:rsidR="0070787A">
              <w:rPr>
                <w:rStyle w:val="Hyperlink"/>
                <w:color w:val="auto"/>
                <w:sz w:val="22"/>
                <w:szCs w:val="22"/>
                <w:u w:val="none"/>
              </w:rPr>
              <w:t>:</w:t>
            </w:r>
          </w:p>
          <w:p w:rsidR="00F77E1E" w:rsidRPr="00B032FD" w:rsidP="007E1308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7E1308" w:rsidRPr="00B032FD" w:rsidP="00965CF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901AF6">
              <w:rPr>
                <w:rFonts w:ascii="Times New Roman" w:hAnsi="Times New Roman" w:cs="Times New Roman"/>
              </w:rPr>
              <w:t xml:space="preserve">stablishes </w:t>
            </w:r>
            <w:r w:rsidRPr="00F20557" w:rsidR="00901AF6">
              <w:rPr>
                <w:rFonts w:ascii="Times New Roman" w:hAnsi="Times New Roman" w:cs="Times New Roman"/>
              </w:rPr>
              <w:t xml:space="preserve">two new shot clocks for </w:t>
            </w:r>
            <w:r w:rsidR="00901AF6">
              <w:rPr>
                <w:rFonts w:ascii="Times New Roman" w:hAnsi="Times New Roman" w:cs="Times New Roman"/>
              </w:rPr>
              <w:t>small wireless facilitie</w:t>
            </w:r>
            <w:r w:rsidRPr="00F20557" w:rsidR="00901AF6">
              <w:rPr>
                <w:rFonts w:ascii="Times New Roman" w:hAnsi="Times New Roman" w:cs="Times New Roman"/>
              </w:rPr>
              <w:t>s</w:t>
            </w:r>
            <w:r w:rsidR="00901AF6">
              <w:rPr>
                <w:rFonts w:ascii="Times New Roman" w:hAnsi="Times New Roman" w:cs="Times New Roman"/>
              </w:rPr>
              <w:t xml:space="preserve"> (60 days</w:t>
            </w:r>
            <w:r w:rsidRPr="00F20557" w:rsidR="00901AF6">
              <w:rPr>
                <w:rFonts w:ascii="Times New Roman" w:hAnsi="Times New Roman" w:cs="Times New Roman"/>
              </w:rPr>
              <w:t xml:space="preserve"> for collocation on preexisting structures</w:t>
            </w:r>
            <w:r w:rsidR="00901AF6">
              <w:rPr>
                <w:rFonts w:ascii="Times New Roman" w:hAnsi="Times New Roman" w:cs="Times New Roman"/>
              </w:rPr>
              <w:t xml:space="preserve"> </w:t>
            </w:r>
            <w:r w:rsidRPr="00F20557" w:rsidR="00901AF6">
              <w:rPr>
                <w:rFonts w:ascii="Times New Roman" w:hAnsi="Times New Roman" w:cs="Times New Roman"/>
              </w:rPr>
              <w:t xml:space="preserve">and </w:t>
            </w:r>
            <w:r w:rsidR="00901AF6">
              <w:rPr>
                <w:rFonts w:ascii="Times New Roman" w:hAnsi="Times New Roman" w:cs="Times New Roman"/>
              </w:rPr>
              <w:t>90 days</w:t>
            </w:r>
            <w:r w:rsidRPr="00F20557" w:rsidR="00901AF6">
              <w:rPr>
                <w:rFonts w:ascii="Times New Roman" w:hAnsi="Times New Roman" w:cs="Times New Roman"/>
              </w:rPr>
              <w:t xml:space="preserve"> for new buil</w:t>
            </w:r>
            <w:r w:rsidR="00901AF6">
              <w:rPr>
                <w:rFonts w:ascii="Times New Roman" w:hAnsi="Times New Roman" w:cs="Times New Roman"/>
              </w:rPr>
              <w:t>ds)</w:t>
            </w:r>
            <w:r w:rsidRPr="00B032FD">
              <w:rPr>
                <w:rFonts w:ascii="Times New Roman" w:hAnsi="Times New Roman" w:cs="Times New Roman"/>
              </w:rPr>
              <w:t>;</w:t>
            </w:r>
          </w:p>
          <w:p w:rsidR="00901AF6" w:rsidRPr="00B032FD" w:rsidP="00965CF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B032FD" w:rsidR="007E1308">
              <w:rPr>
                <w:rFonts w:ascii="Times New Roman" w:hAnsi="Times New Roman" w:cs="Times New Roman"/>
              </w:rPr>
              <w:t xml:space="preserve">odifies </w:t>
            </w:r>
            <w:r w:rsidRPr="00B320E0" w:rsidR="00965CF6">
              <w:rPr>
                <w:rFonts w:ascii="Times New Roman" w:hAnsi="Times New Roman" w:cs="Times New Roman"/>
              </w:rPr>
              <w:t xml:space="preserve">the </w:t>
            </w:r>
            <w:r w:rsidR="00965CF6">
              <w:rPr>
                <w:rFonts w:ascii="Times New Roman" w:hAnsi="Times New Roman" w:cs="Times New Roman"/>
              </w:rPr>
              <w:t>existing 90</w:t>
            </w:r>
            <w:r w:rsidRPr="00B320E0" w:rsidR="00965CF6">
              <w:rPr>
                <w:rFonts w:ascii="Times New Roman" w:hAnsi="Times New Roman" w:cs="Times New Roman"/>
              </w:rPr>
              <w:t xml:space="preserve"> and </w:t>
            </w:r>
            <w:r w:rsidR="00965CF6">
              <w:rPr>
                <w:rFonts w:ascii="Times New Roman" w:hAnsi="Times New Roman" w:cs="Times New Roman"/>
              </w:rPr>
              <w:t xml:space="preserve">150 </w:t>
            </w:r>
            <w:r w:rsidRPr="00B320E0" w:rsidR="00965CF6">
              <w:rPr>
                <w:rFonts w:ascii="Times New Roman" w:hAnsi="Times New Roman" w:cs="Times New Roman"/>
              </w:rPr>
              <w:t>day shot clocks</w:t>
            </w:r>
            <w:r w:rsidR="00965CF6">
              <w:rPr>
                <w:rFonts w:ascii="Times New Roman" w:hAnsi="Times New Roman" w:cs="Times New Roman"/>
              </w:rPr>
              <w:t xml:space="preserve"> for wireless facility deployments</w:t>
            </w:r>
            <w:r w:rsidRPr="00B320E0" w:rsidR="00965CF6">
              <w:rPr>
                <w:rFonts w:ascii="Times New Roman" w:hAnsi="Times New Roman" w:cs="Times New Roman"/>
              </w:rPr>
              <w:t xml:space="preserve"> </w:t>
            </w:r>
            <w:r w:rsidR="006B0CB8">
              <w:rPr>
                <w:rFonts w:ascii="Times New Roman" w:hAnsi="Times New Roman" w:cs="Times New Roman"/>
              </w:rPr>
              <w:t xml:space="preserve">that do not qualify as small cells </w:t>
            </w:r>
            <w:r w:rsidR="00965CF6">
              <w:rPr>
                <w:rFonts w:ascii="Times New Roman" w:hAnsi="Times New Roman" w:cs="Times New Roman"/>
              </w:rPr>
              <w:t xml:space="preserve">that were </w:t>
            </w:r>
            <w:r w:rsidRPr="00B320E0" w:rsidR="00965CF6">
              <w:rPr>
                <w:rFonts w:ascii="Times New Roman" w:hAnsi="Times New Roman" w:cs="Times New Roman"/>
              </w:rPr>
              <w:t xml:space="preserve">established in </w:t>
            </w:r>
            <w:r w:rsidR="00965CF6">
              <w:rPr>
                <w:rFonts w:ascii="Times New Roman" w:hAnsi="Times New Roman" w:cs="Times New Roman"/>
              </w:rPr>
              <w:t>2009</w:t>
            </w:r>
            <w:r w:rsidRPr="004C2FC7" w:rsidR="007E1308">
              <w:t>;</w:t>
            </w:r>
          </w:p>
          <w:p w:rsidR="00901AF6" w:rsidRPr="004C2FC7" w:rsidP="004C2FC7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F77E1E">
              <w:rPr>
                <w:rFonts w:ascii="Times New Roman" w:hAnsi="Times New Roman" w:cs="Times New Roman"/>
              </w:rPr>
              <w:t xml:space="preserve">oncludes </w:t>
            </w:r>
            <w:r w:rsidRPr="004C2FC7">
              <w:rPr>
                <w:rFonts w:ascii="Times New Roman" w:hAnsi="Times New Roman" w:cs="Times New Roman"/>
              </w:rPr>
              <w:t>that all state and local government authorizations necessary for the deployment of personal wireless service infrastructure are subject to those shot clocks</w:t>
            </w:r>
            <w:r>
              <w:rPr>
                <w:rFonts w:ascii="Times New Roman" w:hAnsi="Times New Roman" w:cs="Times New Roman"/>
              </w:rPr>
              <w:t>; and</w:t>
            </w:r>
          </w:p>
          <w:p w:rsidR="007E1308" w:rsidRPr="0037768F" w:rsidP="00A45054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F77E1E">
              <w:rPr>
                <w:rFonts w:ascii="Times New Roman" w:hAnsi="Times New Roman" w:cs="Times New Roman"/>
              </w:rPr>
              <w:t xml:space="preserve">dopts a new remedy </w:t>
            </w:r>
            <w:r w:rsidR="00687156">
              <w:rPr>
                <w:rFonts w:ascii="Times New Roman" w:hAnsi="Times New Roman" w:cs="Times New Roman"/>
              </w:rPr>
              <w:t xml:space="preserve">for missed shot clocks </w:t>
            </w:r>
            <w:r w:rsidR="00F77E1E">
              <w:rPr>
                <w:rFonts w:ascii="Times New Roman" w:hAnsi="Times New Roman" w:cs="Times New Roman"/>
              </w:rPr>
              <w:t>by finding</w:t>
            </w:r>
            <w:r w:rsidR="00901AF6">
              <w:rPr>
                <w:rFonts w:ascii="Times New Roman" w:hAnsi="Times New Roman" w:cs="Times New Roman"/>
              </w:rPr>
              <w:t xml:space="preserve"> that a failure to act within the new small wireless facility shot </w:t>
            </w:r>
            <w:r w:rsidRPr="0037768F" w:rsidR="00901AF6">
              <w:rPr>
                <w:rFonts w:ascii="Times New Roman" w:hAnsi="Times New Roman" w:cs="Times New Roman"/>
              </w:rPr>
              <w:t>clock constitutes a presumptive prohibition on the provision of services.</w:t>
            </w:r>
          </w:p>
          <w:p w:rsidR="0037768F" w:rsidRPr="0037768F" w:rsidP="0037768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37768F" w:rsidRPr="00351D9D" w:rsidP="0037768F">
            <w:pPr>
              <w:pStyle w:val="NoSpacing"/>
              <w:rPr>
                <w:rFonts w:ascii="Times New Roman" w:hAnsi="Times New Roman" w:cs="Times New Roman"/>
              </w:rPr>
            </w:pPr>
            <w:r w:rsidRPr="00351D9D">
              <w:rPr>
                <w:rFonts w:ascii="Times New Roman" w:hAnsi="Times New Roman" w:cs="Times New Roman"/>
              </w:rPr>
              <w:t>Action by the Commission September 26, 2018 by Declaratory Ruling and Report and Order (FCC 18-133).  Chairman Pai, Commissioners</w:t>
            </w:r>
            <w:r w:rsidR="00FE05D8">
              <w:rPr>
                <w:rFonts w:ascii="Times New Roman" w:hAnsi="Times New Roman" w:cs="Times New Roman"/>
              </w:rPr>
              <w:t xml:space="preserve"> O’Rielly</w:t>
            </w:r>
            <w:r w:rsidRPr="00351D9D">
              <w:rPr>
                <w:rFonts w:ascii="Times New Roman" w:hAnsi="Times New Roman" w:cs="Times New Roman"/>
              </w:rPr>
              <w:t xml:space="preserve"> and Carr approving.  Commissioner Rosenworcel</w:t>
            </w:r>
            <w:r w:rsidRPr="00351D9D" w:rsidR="00351D9D">
              <w:rPr>
                <w:rFonts w:ascii="Times New Roman" w:hAnsi="Times New Roman" w:cs="Times New Roman"/>
              </w:rPr>
              <w:t xml:space="preserve"> approving in part and</w:t>
            </w:r>
            <w:r w:rsidRPr="00351D9D">
              <w:rPr>
                <w:rFonts w:ascii="Times New Roman" w:hAnsi="Times New Roman" w:cs="Times New Roman"/>
              </w:rPr>
              <w:t xml:space="preserve"> dissenting</w:t>
            </w:r>
            <w:r w:rsidRPr="00351D9D" w:rsidR="00351D9D">
              <w:rPr>
                <w:rFonts w:ascii="Times New Roman" w:hAnsi="Times New Roman" w:cs="Times New Roman"/>
              </w:rPr>
              <w:t xml:space="preserve"> in part</w:t>
            </w:r>
            <w:r w:rsidRPr="00351D9D">
              <w:rPr>
                <w:rFonts w:ascii="Times New Roman" w:hAnsi="Times New Roman" w:cs="Times New Roman"/>
              </w:rPr>
              <w:t>. Chairman Pai, Commissioners O’Rielly, Carr, and Rosenworcel issuing separate statements.</w:t>
            </w:r>
          </w:p>
          <w:p w:rsidR="0037768F" w:rsidRPr="00351D9D" w:rsidP="0037768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37768F" w:rsidRPr="0037768F" w:rsidP="0037768F">
            <w:pPr>
              <w:pStyle w:val="NoSpacing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351D9D">
              <w:rPr>
                <w:rFonts w:ascii="Times New Roman" w:hAnsi="Times New Roman" w:cs="Times New Roman"/>
              </w:rPr>
              <w:t>WT Docket No. 17-79; WC Docket No. 17-84</w:t>
            </w:r>
          </w:p>
          <w:p w:rsidR="007E1308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4A729A" w:rsidP="00850E26">
            <w:pPr>
              <w:ind w:right="72"/>
              <w:jc w:val="center"/>
              <w:rPr>
                <w:sz w:val="22"/>
                <w:szCs w:val="22"/>
              </w:rPr>
            </w:pPr>
            <w:r w:rsidRPr="00A225A9">
              <w:rPr>
                <w:sz w:val="22"/>
                <w:szCs w:val="22"/>
              </w:rPr>
              <w:t>###</w:t>
            </w:r>
          </w:p>
          <w:p w:rsidR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850E26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="00A81700">
              <w:rPr>
                <w:b/>
                <w:bCs/>
                <w:sz w:val="18"/>
                <w:szCs w:val="18"/>
              </w:rPr>
              <w:t xml:space="preserve">Videophone: (844) </w:t>
            </w:r>
            <w:r w:rsidRPr="00850E26">
              <w:rPr>
                <w:b/>
                <w:bCs/>
                <w:sz w:val="18"/>
                <w:szCs w:val="18"/>
              </w:rPr>
              <w:t>432-2275</w:t>
            </w:r>
          </w:p>
          <w:p w:rsidR="00E644FE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Pr="006E4A76" w:rsid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850E26">
              <w:rPr>
                <w:b/>
                <w:bCs/>
                <w:sz w:val="18"/>
                <w:szCs w:val="18"/>
              </w:rPr>
              <w:t>www.fcc.gov/office-media-relations</w:t>
            </w:r>
          </w:p>
          <w:p w:rsidR="0069420F" w:rsidRPr="00EE0E9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>
      <w:pPr>
        <w:rPr>
          <w:b/>
          <w:bCs/>
          <w:sz w:val="2"/>
          <w:szCs w:val="2"/>
        </w:rPr>
      </w:pPr>
    </w:p>
    <w:sectPr w:rsidSect="0037768F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B455D51"/>
    <w:multiLevelType w:val="hybridMultilevel"/>
    <w:tmpl w:val="539276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63728"/>
    <w:multiLevelType w:val="hybridMultilevel"/>
    <w:tmpl w:val="63B6A6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D4BED"/>
    <w:multiLevelType w:val="hybridMultilevel"/>
    <w:tmpl w:val="306AC5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">
    <w:nsid w:val="46200360"/>
    <w:multiLevelType w:val="hybridMultilevel"/>
    <w:tmpl w:val="4F4A5F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NoSpacing">
    <w:name w:val="No Spacing"/>
    <w:uiPriority w:val="1"/>
    <w:qFormat/>
    <w:rsid w:val="007E1308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3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3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5CF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F77E1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77E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77E1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77E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77E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