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tbl>
      <w:tblPr>
        <w:tblW w:w="0" w:type="auto"/>
        <w:tblLook w:val="0000"/>
      </w:tblPr>
      <w:tblGrid>
        <w:gridCol w:w="8640"/>
      </w:tblGrid>
      <w:tr w:rsidTr="006D5D22">
        <w:tblPrEx>
          <w:tblW w:w="0" w:type="auto"/>
          <w:tblLook w:val="0000"/>
        </w:tblPrEx>
        <w:trPr>
          <w:trHeight w:val="2181"/>
        </w:trPr>
        <w:tc>
          <w:tcPr>
            <w:tcW w:w="8856" w:type="dxa"/>
          </w:tcPr>
          <w:p w:rsidR="00FF232D" w:rsidP="006A7D75">
            <w:pPr>
              <w:jc w:val="center"/>
              <w:rPr>
                <w:b/>
              </w:rPr>
            </w:pPr>
            <w:bookmarkStart w:id="0" w:name="_GoBack"/>
            <w:bookmarkEnd w:id="0"/>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pPr>
              <w:rPr>
                <w:b/>
                <w:bCs/>
                <w:sz w:val="12"/>
                <w:szCs w:val="12"/>
              </w:rPr>
            </w:pPr>
          </w:p>
          <w:p w:rsidR="007A44F8" w:rsidRPr="008A3940" w:rsidP="00BB4E29">
            <w:pPr>
              <w:rPr>
                <w:b/>
                <w:bCs/>
                <w:sz w:val="22"/>
                <w:szCs w:val="22"/>
              </w:rPr>
            </w:pPr>
            <w:r w:rsidRPr="008A3940">
              <w:rPr>
                <w:b/>
                <w:bCs/>
                <w:sz w:val="22"/>
                <w:szCs w:val="22"/>
              </w:rPr>
              <w:t xml:space="preserve">Media Contact: </w:t>
            </w:r>
          </w:p>
          <w:p w:rsidR="007A44F8" w:rsidRPr="008A3940" w:rsidP="00BB4E29">
            <w:pPr>
              <w:rPr>
                <w:bCs/>
                <w:sz w:val="22"/>
                <w:szCs w:val="22"/>
              </w:rPr>
            </w:pPr>
            <w:r>
              <w:rPr>
                <w:bCs/>
                <w:sz w:val="22"/>
                <w:szCs w:val="22"/>
              </w:rPr>
              <w:t>Neil</w:t>
            </w:r>
            <w:r w:rsidRPr="008A3940">
              <w:rPr>
                <w:bCs/>
                <w:sz w:val="22"/>
                <w:szCs w:val="22"/>
              </w:rPr>
              <w:t xml:space="preserve"> </w:t>
            </w:r>
            <w:r>
              <w:rPr>
                <w:bCs/>
                <w:sz w:val="22"/>
                <w:szCs w:val="22"/>
              </w:rPr>
              <w:t>Grace</w:t>
            </w:r>
            <w:r w:rsidRPr="008A3940">
              <w:rPr>
                <w:bCs/>
                <w:sz w:val="22"/>
                <w:szCs w:val="22"/>
              </w:rPr>
              <w:t xml:space="preserve">, </w:t>
            </w:r>
            <w:r w:rsidR="00AC0A38">
              <w:rPr>
                <w:bCs/>
                <w:sz w:val="22"/>
                <w:szCs w:val="22"/>
              </w:rPr>
              <w:t>(</w:t>
            </w:r>
            <w:r w:rsidRPr="008A3940">
              <w:rPr>
                <w:bCs/>
                <w:sz w:val="22"/>
                <w:szCs w:val="22"/>
              </w:rPr>
              <w:t>202</w:t>
            </w:r>
            <w:r w:rsidR="00AC0A38">
              <w:rPr>
                <w:bCs/>
                <w:sz w:val="22"/>
                <w:szCs w:val="22"/>
              </w:rPr>
              <w:t xml:space="preserve">) </w:t>
            </w:r>
            <w:r>
              <w:rPr>
                <w:bCs/>
                <w:sz w:val="22"/>
                <w:szCs w:val="22"/>
              </w:rPr>
              <w:t>418-0506</w:t>
            </w:r>
          </w:p>
          <w:p w:rsidR="00FF232D" w:rsidRPr="008A3940" w:rsidP="00BB4E29">
            <w:pPr>
              <w:rPr>
                <w:bCs/>
                <w:sz w:val="22"/>
                <w:szCs w:val="22"/>
              </w:rPr>
            </w:pPr>
            <w:r>
              <w:rPr>
                <w:bCs/>
                <w:sz w:val="22"/>
                <w:szCs w:val="22"/>
              </w:rPr>
              <w:t>neil</w:t>
            </w:r>
            <w:r w:rsidRPr="008A3940" w:rsidR="007A44F8">
              <w:rPr>
                <w:bCs/>
                <w:sz w:val="22"/>
                <w:szCs w:val="22"/>
              </w:rPr>
              <w:t>.</w:t>
            </w:r>
            <w:r>
              <w:rPr>
                <w:bCs/>
                <w:sz w:val="22"/>
                <w:szCs w:val="22"/>
              </w:rPr>
              <w:t>grace</w:t>
            </w:r>
            <w:r w:rsidRPr="008A3940" w:rsidR="007A44F8">
              <w:rPr>
                <w:bCs/>
                <w:sz w:val="22"/>
                <w:szCs w:val="22"/>
              </w:rPr>
              <w:t>@fcc.gov</w:t>
            </w:r>
          </w:p>
          <w:p w:rsidR="007A44F8" w:rsidRPr="008A3940" w:rsidP="00BB4E29">
            <w:pPr>
              <w:rPr>
                <w:bCs/>
                <w:sz w:val="22"/>
                <w:szCs w:val="22"/>
              </w:rPr>
            </w:pPr>
          </w:p>
          <w:p w:rsidR="007A44F8" w:rsidRPr="008A3940" w:rsidP="00BB4E29">
            <w:pPr>
              <w:rPr>
                <w:b/>
                <w:sz w:val="22"/>
                <w:szCs w:val="22"/>
              </w:rPr>
            </w:pPr>
            <w:r w:rsidRPr="008A3940">
              <w:rPr>
                <w:b/>
                <w:sz w:val="22"/>
                <w:szCs w:val="22"/>
              </w:rPr>
              <w:t>For Immediate Release</w:t>
            </w:r>
          </w:p>
          <w:p w:rsidR="007A44F8" w:rsidRPr="004A729A" w:rsidP="00BB4E29">
            <w:pPr>
              <w:jc w:val="center"/>
              <w:rPr>
                <w:b/>
                <w:bCs/>
                <w:sz w:val="22"/>
                <w:szCs w:val="22"/>
              </w:rPr>
            </w:pPr>
          </w:p>
          <w:p w:rsidR="006B0629" w:rsidRPr="00456A52" w:rsidP="006B0629">
            <w:pPr>
              <w:pStyle w:val="Header"/>
              <w:tabs>
                <w:tab w:val="clear" w:pos="4320"/>
                <w:tab w:val="clear" w:pos="8640"/>
                <w:tab w:val="right" w:pos="9346"/>
              </w:tabs>
              <w:jc w:val="center"/>
              <w:rPr>
                <w:rFonts w:ascii="Times New Roman" w:hAnsi="Times New Roman"/>
                <w:b/>
                <w:sz w:val="26"/>
                <w:szCs w:val="26"/>
              </w:rPr>
            </w:pPr>
            <w:r w:rsidRPr="00456A52">
              <w:rPr>
                <w:rFonts w:ascii="Times New Roman" w:hAnsi="Times New Roman"/>
                <w:b/>
                <w:sz w:val="26"/>
                <w:szCs w:val="26"/>
              </w:rPr>
              <w:t>FCC STREAMLINES RULES FOR EARTH STATIONS IN MOTION</w:t>
            </w:r>
          </w:p>
          <w:p w:rsidR="006B0629" w:rsidP="006B0629">
            <w:pPr>
              <w:pStyle w:val="Header"/>
              <w:tabs>
                <w:tab w:val="clear" w:pos="4320"/>
                <w:tab w:val="clear" w:pos="8640"/>
                <w:tab w:val="right" w:pos="9346"/>
              </w:tabs>
              <w:jc w:val="center"/>
              <w:rPr>
                <w:rFonts w:ascii="Times New Roman" w:hAnsi="Times New Roman"/>
                <w:b/>
              </w:rPr>
            </w:pPr>
          </w:p>
          <w:p w:rsidR="006B0629" w:rsidRPr="00456A52" w:rsidP="006B0629">
            <w:pPr>
              <w:pStyle w:val="Header"/>
              <w:tabs>
                <w:tab w:val="clear" w:pos="4320"/>
                <w:tab w:val="clear" w:pos="8640"/>
                <w:tab w:val="right" w:pos="9346"/>
              </w:tabs>
              <w:rPr>
                <w:rFonts w:ascii="Times New Roman" w:hAnsi="Times New Roman"/>
                <w:sz w:val="22"/>
                <w:szCs w:val="22"/>
              </w:rPr>
            </w:pPr>
            <w:r>
              <w:rPr>
                <w:rFonts w:ascii="Times New Roman" w:hAnsi="Times New Roman"/>
                <w:sz w:val="22"/>
                <w:szCs w:val="22"/>
              </w:rPr>
              <w:t>WASHINGTON, September 26, 2018—</w:t>
            </w:r>
            <w:r w:rsidRPr="00456A52">
              <w:rPr>
                <w:rFonts w:ascii="Times New Roman" w:hAnsi="Times New Roman"/>
                <w:sz w:val="22"/>
                <w:szCs w:val="22"/>
              </w:rPr>
              <w:t>The Federal Communications Commission today streamlined, consolidated</w:t>
            </w:r>
            <w:r w:rsidRPr="00456A52" w:rsidR="00A71BEB">
              <w:rPr>
                <w:rFonts w:ascii="Times New Roman" w:hAnsi="Times New Roman"/>
                <w:sz w:val="22"/>
                <w:szCs w:val="22"/>
              </w:rPr>
              <w:t>,</w:t>
            </w:r>
            <w:r w:rsidRPr="00456A52">
              <w:rPr>
                <w:rFonts w:ascii="Times New Roman" w:hAnsi="Times New Roman"/>
                <w:sz w:val="22"/>
                <w:szCs w:val="22"/>
              </w:rPr>
              <w:t xml:space="preserve"> and harmonized the rules governing earth stations used to provide satellite-based services on ships, airplanes and vehicles.  These actions simplify the regulatory approval process for this rapidly growing segment of the satellite communications market.  </w:t>
            </w:r>
          </w:p>
          <w:p w:rsidR="006B0629" w:rsidRPr="00456A52" w:rsidP="006B0629">
            <w:pPr>
              <w:pStyle w:val="Header"/>
              <w:tabs>
                <w:tab w:val="clear" w:pos="4320"/>
                <w:tab w:val="clear" w:pos="8640"/>
                <w:tab w:val="right" w:pos="9346"/>
              </w:tabs>
              <w:rPr>
                <w:rFonts w:ascii="Times New Roman" w:hAnsi="Times New Roman"/>
                <w:sz w:val="22"/>
                <w:szCs w:val="22"/>
              </w:rPr>
            </w:pPr>
          </w:p>
          <w:p w:rsidR="006B0629" w:rsidRPr="00456A52" w:rsidP="006B0629">
            <w:pPr>
              <w:pStyle w:val="Header"/>
              <w:tabs>
                <w:tab w:val="clear" w:pos="4320"/>
                <w:tab w:val="clear" w:pos="8640"/>
                <w:tab w:val="right" w:pos="9346"/>
              </w:tabs>
              <w:rPr>
                <w:rFonts w:ascii="Times New Roman" w:hAnsi="Times New Roman"/>
                <w:sz w:val="22"/>
                <w:szCs w:val="22"/>
              </w:rPr>
            </w:pPr>
            <w:r w:rsidRPr="00456A52">
              <w:rPr>
                <w:rFonts w:ascii="Times New Roman" w:hAnsi="Times New Roman"/>
                <w:sz w:val="22"/>
                <w:szCs w:val="22"/>
              </w:rPr>
              <w:t xml:space="preserve">Currently, the regulation of these earth stations that communicate with geostationary satellite orbit (GSO) satellites operating in the fixed-satellite service (FSS), and are collectively known as “ESIMs,” varies depending on the type of vehicle they are attached to and are covered in various rule provisions.  This Report and Order integrates the three types of earth stations in motion into a single regulatory category, reducing the burden on applicants leading to a more efficient licensing process.  The decision also gives increased flexibility to ESIMs to operate in the “conventional Ka- frequency band,” facilitating the delivery of satellite-based high-speed services.  </w:t>
            </w:r>
          </w:p>
          <w:p w:rsidR="006B0629" w:rsidRPr="00456A52" w:rsidP="006B0629">
            <w:pPr>
              <w:pStyle w:val="Header"/>
              <w:tabs>
                <w:tab w:val="clear" w:pos="4320"/>
                <w:tab w:val="clear" w:pos="8640"/>
                <w:tab w:val="right" w:pos="9346"/>
              </w:tabs>
              <w:rPr>
                <w:rFonts w:ascii="Times New Roman" w:hAnsi="Times New Roman"/>
                <w:sz w:val="22"/>
                <w:szCs w:val="22"/>
              </w:rPr>
            </w:pPr>
          </w:p>
          <w:p w:rsidR="006B0629" w:rsidRPr="00456A52" w:rsidP="006B0629">
            <w:pPr>
              <w:pStyle w:val="Header"/>
              <w:tabs>
                <w:tab w:val="clear" w:pos="4320"/>
                <w:tab w:val="clear" w:pos="8640"/>
                <w:tab w:val="right" w:pos="9346"/>
              </w:tabs>
              <w:rPr>
                <w:rFonts w:ascii="Times New Roman" w:hAnsi="Times New Roman"/>
                <w:sz w:val="22"/>
                <w:szCs w:val="22"/>
              </w:rPr>
            </w:pPr>
            <w:r w:rsidRPr="00456A52">
              <w:rPr>
                <w:rFonts w:ascii="Times New Roman" w:hAnsi="Times New Roman"/>
                <w:sz w:val="22"/>
                <w:szCs w:val="22"/>
              </w:rPr>
              <w:t>The Further Notice of Proposed Rulemaking seeks comment on expanding the frequencies available to ESIMs communicating with GSO FSS satellite networks to allow additional flexibility to satellite operators.</w:t>
            </w:r>
          </w:p>
          <w:p w:rsidR="006B0629" w:rsidRPr="00515EB4" w:rsidP="006B0629">
            <w:pPr>
              <w:pStyle w:val="Header"/>
              <w:tabs>
                <w:tab w:val="clear" w:pos="4320"/>
                <w:tab w:val="clear" w:pos="8640"/>
                <w:tab w:val="right" w:pos="9346"/>
              </w:tabs>
              <w:rPr>
                <w:rFonts w:ascii="Times New Roman" w:hAnsi="Times New Roman"/>
                <w:sz w:val="22"/>
                <w:szCs w:val="22"/>
              </w:rPr>
            </w:pPr>
          </w:p>
          <w:p w:rsidR="00515EB4" w:rsidRPr="00515EB4" w:rsidP="00515EB4">
            <w:pPr>
              <w:pStyle w:val="Header"/>
              <w:tabs>
                <w:tab w:val="right" w:pos="9346"/>
              </w:tabs>
              <w:rPr>
                <w:rFonts w:ascii="Times New Roman" w:hAnsi="Times New Roman"/>
                <w:sz w:val="22"/>
                <w:szCs w:val="22"/>
              </w:rPr>
            </w:pPr>
            <w:r w:rsidRPr="00515EB4">
              <w:rPr>
                <w:rFonts w:ascii="Times New Roman" w:hAnsi="Times New Roman"/>
                <w:sz w:val="22"/>
                <w:szCs w:val="22"/>
              </w:rPr>
              <w:t>Action by the Commission September 26, 2018 by Report and Order and Further Notice of Proposed Rulemaking (FCC 18-138).  Chairman Pai, Commissioners O’Rielly, Carr, and Rosenworcel approving</w:t>
            </w:r>
            <w:r w:rsidR="005E77A9">
              <w:rPr>
                <w:rFonts w:ascii="Times New Roman" w:hAnsi="Times New Roman"/>
                <w:sz w:val="22"/>
                <w:szCs w:val="22"/>
              </w:rPr>
              <w:t xml:space="preserve"> and</w:t>
            </w:r>
            <w:r w:rsidRPr="00515EB4">
              <w:rPr>
                <w:rFonts w:ascii="Times New Roman" w:hAnsi="Times New Roman"/>
                <w:sz w:val="22"/>
                <w:szCs w:val="22"/>
              </w:rPr>
              <w:t xml:space="preserve"> issuing separate statements.</w:t>
            </w:r>
          </w:p>
          <w:p w:rsidR="00515EB4" w:rsidRPr="00515EB4" w:rsidP="00515EB4">
            <w:pPr>
              <w:pStyle w:val="Header"/>
              <w:tabs>
                <w:tab w:val="right" w:pos="9346"/>
              </w:tabs>
              <w:rPr>
                <w:rFonts w:ascii="Times New Roman" w:hAnsi="Times New Roman"/>
                <w:sz w:val="22"/>
                <w:szCs w:val="22"/>
              </w:rPr>
            </w:pPr>
          </w:p>
          <w:p w:rsidR="00515EB4" w:rsidRPr="00515EB4" w:rsidP="00515EB4">
            <w:pPr>
              <w:pStyle w:val="Header"/>
              <w:tabs>
                <w:tab w:val="right" w:pos="9346"/>
              </w:tabs>
              <w:rPr>
                <w:rFonts w:ascii="Times New Roman" w:hAnsi="Times New Roman"/>
                <w:sz w:val="22"/>
                <w:szCs w:val="22"/>
              </w:rPr>
            </w:pPr>
            <w:r w:rsidRPr="00515EB4">
              <w:rPr>
                <w:rFonts w:ascii="Times New Roman" w:hAnsi="Times New Roman"/>
                <w:sz w:val="22"/>
                <w:szCs w:val="22"/>
              </w:rPr>
              <w:t>IB Docket No. 17-95</w:t>
            </w:r>
          </w:p>
          <w:p w:rsidR="00BD19E8" w:rsidRPr="00A225A9" w:rsidP="00DA7B44">
            <w:pPr>
              <w:rPr>
                <w:rStyle w:val="Hyperlink"/>
                <w:color w:val="auto"/>
                <w:sz w:val="22"/>
                <w:szCs w:val="22"/>
                <w:u w:val="none"/>
              </w:rPr>
            </w:pPr>
          </w:p>
          <w:p w:rsidR="004F0F1F" w:rsidRPr="004A729A" w:rsidP="00850E26">
            <w:pPr>
              <w:ind w:right="72"/>
              <w:jc w:val="center"/>
              <w:rPr>
                <w:sz w:val="22"/>
                <w:szCs w:val="22"/>
              </w:rPr>
            </w:pPr>
            <w:r w:rsidRPr="00A225A9">
              <w:rPr>
                <w:sz w:val="22"/>
                <w:szCs w:val="22"/>
              </w:rPr>
              <w:t>###</w:t>
            </w:r>
          </w:p>
          <w:p w:rsidR="00E644FE" w:rsidP="00850E26">
            <w:pPr>
              <w:ind w:right="72"/>
              <w:jc w:val="center"/>
              <w:rPr>
                <w:b/>
                <w:bCs/>
                <w:sz w:val="18"/>
                <w:szCs w:val="18"/>
              </w:rPr>
            </w:pPr>
            <w:r w:rsidRPr="004A729A">
              <w:rPr>
                <w:b/>
                <w:bCs/>
                <w:sz w:val="22"/>
                <w:szCs w:val="2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850E26" w:rsidRPr="006B0A70" w:rsidP="00850E26">
            <w:pPr>
              <w:ind w:right="72"/>
              <w:jc w:val="center"/>
              <w:rPr>
                <w:b/>
                <w:bCs/>
                <w:sz w:val="18"/>
                <w:szCs w:val="18"/>
              </w:rPr>
            </w:pPr>
            <w:r>
              <w:rPr>
                <w:b/>
                <w:bCs/>
                <w:sz w:val="18"/>
                <w:szCs w:val="18"/>
              </w:rPr>
              <w:t xml:space="preserve">ASL </w:t>
            </w:r>
            <w:r w:rsidR="00A81700">
              <w:rPr>
                <w:b/>
                <w:bCs/>
                <w:sz w:val="18"/>
                <w:szCs w:val="18"/>
              </w:rPr>
              <w:t xml:space="preserve">Videophone: (844) </w:t>
            </w:r>
            <w:r w:rsidRPr="00850E26">
              <w:rPr>
                <w:b/>
                <w:bCs/>
                <w:sz w:val="18"/>
                <w:szCs w:val="18"/>
              </w:rPr>
              <w:t>432-2275</w:t>
            </w:r>
          </w:p>
          <w:p w:rsidR="00E644FE" w:rsidRPr="006B0A70" w:rsidP="00850E26">
            <w:pPr>
              <w:ind w:right="72"/>
              <w:jc w:val="center"/>
              <w:rPr>
                <w:b/>
                <w:bCs/>
                <w:sz w:val="18"/>
                <w:szCs w:val="18"/>
              </w:rPr>
            </w:pPr>
            <w:r w:rsidRPr="006B0A70">
              <w:rPr>
                <w:b/>
                <w:bCs/>
                <w:sz w:val="18"/>
                <w:szCs w:val="18"/>
              </w:rPr>
              <w:t xml:space="preserve">TTY: </w:t>
            </w:r>
            <w:r w:rsidR="00AC0A38">
              <w:rPr>
                <w:b/>
                <w:bCs/>
                <w:sz w:val="18"/>
                <w:szCs w:val="18"/>
              </w:rPr>
              <w:t xml:space="preserve">(888) </w:t>
            </w:r>
            <w:r w:rsidRPr="006E4A76" w:rsidR="006E4A76">
              <w:rPr>
                <w:b/>
                <w:bCs/>
                <w:sz w:val="18"/>
                <w:szCs w:val="18"/>
              </w:rPr>
              <w:t>835-5322</w:t>
            </w:r>
          </w:p>
          <w:p w:rsidR="00CC5E08" w:rsidRPr="006B0A70" w:rsidP="00850E26">
            <w:pPr>
              <w:ind w:right="72"/>
              <w:jc w:val="center"/>
              <w:rPr>
                <w:b/>
                <w:bCs/>
                <w:sz w:val="18"/>
                <w:szCs w:val="18"/>
              </w:rPr>
            </w:pPr>
            <w:r>
              <w:rPr>
                <w:b/>
                <w:bCs/>
                <w:sz w:val="18"/>
                <w:szCs w:val="18"/>
              </w:rPr>
              <w:t>Twitter: @FCC</w:t>
            </w:r>
          </w:p>
          <w:p w:rsidR="00CC5E08" w:rsidRPr="00285C36" w:rsidP="00850E26">
            <w:pPr>
              <w:ind w:right="72"/>
              <w:jc w:val="center"/>
              <w:rPr>
                <w:rStyle w:val="Hyperlink"/>
                <w:b/>
                <w:bCs/>
                <w:color w:val="auto"/>
                <w:sz w:val="18"/>
                <w:szCs w:val="18"/>
              </w:rPr>
            </w:pPr>
            <w:r w:rsidRPr="00285C36">
              <w:rPr>
                <w:b/>
                <w:sz w:val="18"/>
                <w:szCs w:val="18"/>
              </w:rPr>
              <w:t>www.fcc.gov/media-relations</w:t>
            </w:r>
            <w:r w:rsidRPr="00285C36">
              <w:rPr>
                <w:b/>
                <w:bCs/>
                <w:sz w:val="18"/>
                <w:szCs w:val="18"/>
              </w:rPr>
              <w:t xml:space="preserve">  </w:t>
            </w:r>
          </w:p>
          <w:p w:rsidR="0069420F" w:rsidRPr="00EE0E90" w:rsidP="00850E26">
            <w:pPr>
              <w:ind w:right="72"/>
              <w:jc w:val="center"/>
              <w:rPr>
                <w:b/>
                <w:bCs/>
                <w:sz w:val="18"/>
                <w:szCs w:val="18"/>
              </w:rPr>
            </w:pPr>
          </w:p>
          <w:p w:rsidR="00EE0E90" w:rsidRPr="0069420F" w:rsidP="00850E26">
            <w:pPr>
              <w:ind w:right="72"/>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bl>
    <w:p w:rsidR="00D24C3D" w:rsidRPr="007528A5">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Header">
    <w:name w:val="header"/>
    <w:basedOn w:val="Normal"/>
    <w:link w:val="HeaderChar"/>
    <w:semiHidden/>
    <w:rsid w:val="006B0629"/>
    <w:pPr>
      <w:tabs>
        <w:tab w:val="center" w:pos="4320"/>
        <w:tab w:val="right" w:pos="8640"/>
      </w:tabs>
    </w:pPr>
    <w:rPr>
      <w:rFonts w:ascii="Arial" w:hAnsi="Arial"/>
      <w:szCs w:val="20"/>
    </w:rPr>
  </w:style>
  <w:style w:type="character" w:customStyle="1" w:styleId="HeaderChar">
    <w:name w:val="Header Char"/>
    <w:basedOn w:val="DefaultParagraphFont"/>
    <w:link w:val="Header"/>
    <w:semiHidden/>
    <w:rsid w:val="006B0629"/>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