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45C1C" w:rsidRPr="00A97AF7" w:rsidP="00345C1C">
      <w:pPr>
        <w:spacing w:after="240"/>
        <w:jc w:val="center"/>
        <w:rPr>
          <w:rFonts w:eastAsia="Calibri" w:cs="Times New Roman"/>
          <w:b/>
        </w:rPr>
      </w:pPr>
      <w:bookmarkStart w:id="0" w:name="_GoBack"/>
      <w:bookmarkEnd w:id="0"/>
      <w:r w:rsidRPr="00A97AF7">
        <w:rPr>
          <w:rFonts w:eastAsia="Calibri" w:cs="Times New Roman"/>
          <w:b/>
        </w:rPr>
        <w:t>STATEMENT OF</w:t>
      </w:r>
      <w:r w:rsidRPr="00A97AF7">
        <w:rPr>
          <w:rFonts w:eastAsia="Calibri" w:cs="Times New Roman"/>
          <w:b/>
        </w:rPr>
        <w:br/>
        <w:t>CHAIRMAN AJIT PAI</w:t>
      </w:r>
    </w:p>
    <w:p w:rsidR="00345C1C" w:rsidP="00345C1C">
      <w:pPr>
        <w:ind w:left="720" w:hanging="720"/>
        <w:rPr>
          <w:rFonts w:eastAsia="Calibri" w:cs="Times New Roman"/>
        </w:rPr>
      </w:pPr>
      <w:r w:rsidRPr="00A97AF7">
        <w:rPr>
          <w:rFonts w:eastAsia="Calibri" w:cs="Times New Roman"/>
        </w:rPr>
        <w:t>Re:</w:t>
      </w:r>
      <w:r w:rsidRPr="00A97AF7">
        <w:rPr>
          <w:rFonts w:eastAsia="Calibri" w:cs="Times New Roman"/>
        </w:rPr>
        <w:tab/>
      </w:r>
      <w:r w:rsidRPr="00A97AF7">
        <w:rPr>
          <w:rFonts w:eastAsia="Calibri" w:cs="Times New Roman"/>
          <w:i/>
        </w:rPr>
        <w:t>Amendment of Parts 2 and 25 of the</w:t>
      </w:r>
      <w:r w:rsidRPr="0087356B">
        <w:rPr>
          <w:rFonts w:ascii="TimesNewRomanPS" w:eastAsia="Calibri" w:hAnsi="TimesNewRomanPS" w:cs="Times New Roman"/>
          <w:bCs/>
          <w:i/>
        </w:rPr>
        <w:t xml:space="preserve"> </w:t>
      </w:r>
      <w:r w:rsidRPr="00A97AF7">
        <w:rPr>
          <w:rFonts w:eastAsia="Calibri" w:cs="Times New Roman"/>
          <w:i/>
        </w:rPr>
        <w:t>Commission’s Rules to Facilitate the Use of Earth Stations in Motion Communicating with</w:t>
      </w:r>
      <w:r w:rsidRPr="00A97AF7">
        <w:rPr>
          <w:rFonts w:ascii="TimesNewRomanPS" w:eastAsia="Calibri" w:hAnsi="TimesNewRomanPS" w:cs="Times New Roman"/>
          <w:bCs/>
          <w:i/>
        </w:rPr>
        <w:t xml:space="preserve"> </w:t>
      </w:r>
      <w:r w:rsidRPr="00A97AF7">
        <w:rPr>
          <w:rFonts w:eastAsia="Calibri" w:cs="Times New Roman"/>
          <w:i/>
        </w:rPr>
        <w:t>Geostationary Orbit Space Stations in Frequency Bands Allocated to the Fixed Satellite Service</w:t>
      </w:r>
      <w:r w:rsidRPr="00A97AF7">
        <w:rPr>
          <w:rFonts w:eastAsia="Calibri" w:cs="Times New Roman"/>
        </w:rPr>
        <w:t>, IB Docket No. 17-95.</w:t>
      </w:r>
    </w:p>
    <w:p w:rsidR="00345C1C" w:rsidP="00345C1C">
      <w:pPr>
        <w:pStyle w:val="ParaNum"/>
        <w:numPr>
          <w:ilvl w:val="0"/>
          <w:numId w:val="0"/>
        </w:numPr>
        <w:ind w:firstLine="720"/>
      </w:pPr>
      <w:r>
        <w:t>During a recent visit to Moab, Utah, I held a videoconference with the school superintendent of a fairly remote district in the state.  He told me that district’s student-athletes often had to travel several hours in order to play away games.  Fortunately, some of their school buses had connectivity, which enabled them to do homework on long drives.</w:t>
      </w:r>
    </w:p>
    <w:p w:rsidR="00345C1C" w:rsidP="00345C1C">
      <w:pPr>
        <w:pStyle w:val="ParaNum"/>
        <w:numPr>
          <w:ilvl w:val="0"/>
          <w:numId w:val="0"/>
        </w:numPr>
        <w:ind w:firstLine="720"/>
      </w:pPr>
      <w:r>
        <w:t>That vignette got me thinking about on-the-road connectivity, including the need to promote satellite-related earth stations in motion (or “ESIMs,” for those who are more acronym-inclined).  ESIMs are used to deliver broadband to ships, vehicles, and aircraft—basically, any non-stationary platform, especially those that can’t be served using other communications technologies.</w:t>
      </w:r>
    </w:p>
    <w:p w:rsidR="00345C1C" w:rsidP="00345C1C">
      <w:pPr>
        <w:pStyle w:val="ParaNum"/>
        <w:numPr>
          <w:ilvl w:val="0"/>
          <w:numId w:val="0"/>
        </w:numPr>
        <w:ind w:firstLine="720"/>
        <w:rPr>
          <w:rFonts w:eastAsia="Calibri"/>
          <w:color w:val="000000"/>
        </w:rPr>
      </w:pPr>
      <w:r>
        <w:rPr>
          <w:rFonts w:eastAsia="Calibri"/>
          <w:color w:val="000000"/>
        </w:rPr>
        <w:t xml:space="preserve">Today, the FCC advances the use of ESIMs in several ways.  First, we allow ESIMs to operate in more satellite frequencies than they can currently use.  We aim to spark innovation and investment, encourage deployment, and hopefully connect even more consumers in this </w:t>
      </w:r>
      <w:r w:rsidRPr="00A97AF7">
        <w:rPr>
          <w:rFonts w:eastAsia="Calibri"/>
          <w:color w:val="000000"/>
        </w:rPr>
        <w:t>fast-growing s</w:t>
      </w:r>
      <w:r>
        <w:rPr>
          <w:rFonts w:eastAsia="Calibri"/>
          <w:color w:val="000000"/>
        </w:rPr>
        <w:t>egment of the satellite marketplace</w:t>
      </w:r>
      <w:r w:rsidRPr="00A97AF7">
        <w:rPr>
          <w:rFonts w:eastAsia="Calibri"/>
          <w:color w:val="000000"/>
        </w:rPr>
        <w:t>.</w:t>
      </w:r>
      <w:r>
        <w:rPr>
          <w:rFonts w:eastAsia="Calibri"/>
          <w:color w:val="000000"/>
        </w:rPr>
        <w:t xml:space="preserve">  Second, we explore whether to add even more spectrum bands to the ESIMs-approved list.  And third, we simplify the three sets of rules for the three different kinds of ESIMs by establishing a single, unified regulatory framework.  This will provide certainty for ESIM operators and their customers.</w:t>
      </w:r>
    </w:p>
    <w:p w:rsidR="00345C1C" w:rsidP="00345C1C">
      <w:pPr>
        <w:pStyle w:val="ParaNum"/>
        <w:numPr>
          <w:ilvl w:val="0"/>
          <w:numId w:val="0"/>
        </w:numPr>
        <w:ind w:firstLine="720"/>
        <w:rPr>
          <w:rFonts w:eastAsia="Calibri"/>
          <w:color w:val="000000"/>
        </w:rPr>
      </w:pPr>
      <w:r>
        <w:rPr>
          <w:rFonts w:eastAsia="Calibri"/>
          <w:color w:val="000000"/>
        </w:rPr>
        <w:t>Our forward-thinking approach to ESIMs reflects our overall strategy for closing the digital divide: to encourage any and all technologies that can connect those for whom Internet access is more aspiration than reality—including many other students on many long bus rides in Utah.</w:t>
      </w:r>
    </w:p>
    <w:p w:rsidR="00345C1C" w:rsidRPr="00402E68" w:rsidP="00345C1C">
      <w:pPr>
        <w:ind w:firstLine="720"/>
        <w:rPr>
          <w:rFonts w:eastAsia="Calibri" w:cs="Times New Roman"/>
          <w:color w:val="000000"/>
        </w:rPr>
      </w:pPr>
      <w:r w:rsidRPr="00A97AF7">
        <w:rPr>
          <w:rFonts w:eastAsia="Calibri" w:cs="Times New Roman"/>
          <w:color w:val="000000"/>
        </w:rPr>
        <w:t xml:space="preserve">Many thanks to those who worked on this item.  In particular, thanks to </w:t>
      </w:r>
      <w:r w:rsidRPr="00402E68">
        <w:rPr>
          <w:rFonts w:eastAsia="Calibri" w:cs="Times New Roman"/>
          <w:color w:val="000000"/>
        </w:rPr>
        <w:t>Jose Albuquerque, Paul Blais, Stephen Duall, Chip Fleming, Cindy Spiers, Jennifer Gilsenan, Walt Strack, Tom Sullivan, and Troy Tanner</w:t>
      </w:r>
      <w:r>
        <w:rPr>
          <w:rFonts w:eastAsia="Calibri" w:cs="Times New Roman"/>
          <w:color w:val="000000"/>
        </w:rPr>
        <w:t xml:space="preserve"> from </w:t>
      </w:r>
      <w:r w:rsidRPr="00A97AF7">
        <w:rPr>
          <w:rFonts w:eastAsia="Calibri" w:cs="Times New Roman"/>
          <w:color w:val="000000"/>
        </w:rPr>
        <w:t xml:space="preserve">the International Bureau; </w:t>
      </w:r>
      <w:r>
        <w:rPr>
          <w:rFonts w:eastAsia="Calibri" w:cs="Times New Roman"/>
          <w:color w:val="000000"/>
        </w:rPr>
        <w:t>Julie Knapp, Nicholas Oros,</w:t>
      </w:r>
      <w:r w:rsidRPr="00A97AF7">
        <w:rPr>
          <w:rFonts w:eastAsia="Calibri" w:cs="Times New Roman"/>
          <w:color w:val="000000"/>
        </w:rPr>
        <w:t xml:space="preserve"> </w:t>
      </w:r>
      <w:r w:rsidRPr="00402E68">
        <w:rPr>
          <w:rFonts w:eastAsia="Calibri" w:cs="Times New Roman"/>
          <w:color w:val="000000"/>
        </w:rPr>
        <w:t>Aspasia Paroutsas</w:t>
      </w:r>
      <w:r>
        <w:rPr>
          <w:rFonts w:eastAsia="Calibri" w:cs="Times New Roman"/>
          <w:color w:val="000000"/>
        </w:rPr>
        <w:t>, and</w:t>
      </w:r>
      <w:r w:rsidRPr="00A97AF7">
        <w:rPr>
          <w:rFonts w:eastAsia="Calibri" w:cs="Times New Roman"/>
          <w:color w:val="000000"/>
        </w:rPr>
        <w:t xml:space="preserve"> Jamison Prime in the Office of Engineering and Technology; Steve Buenzow from the Wireless Telecommunications Bu</w:t>
      </w:r>
      <w:r>
        <w:rPr>
          <w:rFonts w:eastAsia="Calibri" w:cs="Times New Roman"/>
          <w:color w:val="000000"/>
        </w:rPr>
        <w:t xml:space="preserve">reau; and Deborah Broderson, </w:t>
      </w:r>
      <w:r w:rsidRPr="00A97AF7">
        <w:rPr>
          <w:rFonts w:eastAsia="Calibri" w:cs="Times New Roman"/>
          <w:color w:val="000000"/>
        </w:rPr>
        <w:t>David Horowitz</w:t>
      </w:r>
      <w:r>
        <w:rPr>
          <w:rFonts w:eastAsia="Calibri" w:cs="Times New Roman"/>
          <w:color w:val="000000"/>
        </w:rPr>
        <w:t>, and Bill Richardson</w:t>
      </w:r>
      <w:r w:rsidRPr="00A97AF7">
        <w:rPr>
          <w:rFonts w:eastAsia="Calibri" w:cs="Times New Roman"/>
          <w:color w:val="000000"/>
        </w:rPr>
        <w:t xml:space="preserve"> fro</w:t>
      </w:r>
      <w:r>
        <w:rPr>
          <w:rFonts w:eastAsia="Calibri" w:cs="Times New Roman"/>
          <w:color w:val="000000"/>
        </w:rPr>
        <w:t>m the Office of General Counsel.</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ParaNum">
    <w:name w:val="ParaNum"/>
    <w:basedOn w:val="Normal"/>
    <w:link w:val="ParaNumChar1"/>
    <w:rsid w:val="00345C1C"/>
    <w:pPr>
      <w:widowControl w:val="0"/>
      <w:numPr>
        <w:numId w:val="1"/>
      </w:numPr>
      <w:tabs>
        <w:tab w:val="clear" w:pos="1080"/>
        <w:tab w:val="num" w:pos="1440"/>
      </w:tabs>
    </w:pPr>
    <w:rPr>
      <w:rFonts w:eastAsia="Times New Roman" w:cs="Times New Roman"/>
      <w:snapToGrid w:val="0"/>
      <w:kern w:val="28"/>
      <w:szCs w:val="20"/>
    </w:rPr>
  </w:style>
  <w:style w:type="character" w:customStyle="1" w:styleId="ParaNumChar1">
    <w:name w:val="ParaNum Char1"/>
    <w:link w:val="ParaNum"/>
    <w:locked/>
    <w:rsid w:val="00345C1C"/>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