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747A75" w:rsidRPr="00747A75" w:rsidP="00747A75">
      <w:pPr>
        <w:jc w:val="center"/>
        <w:rPr>
          <w:b/>
          <w:smallCaps/>
          <w:szCs w:val="20"/>
        </w:rPr>
      </w:pPr>
      <w:bookmarkStart w:id="0" w:name="_GoBack"/>
      <w:bookmarkEnd w:id="0"/>
      <w:r w:rsidRPr="00747A75">
        <w:rPr>
          <w:b/>
          <w:smallCaps/>
          <w:szCs w:val="20"/>
        </w:rPr>
        <w:t xml:space="preserve">Fact Sheet of Commissioner Michael O’Rielly </w:t>
      </w:r>
    </w:p>
    <w:p w:rsidR="00D641D3" w:rsidRPr="003D5AB5" w:rsidP="00B14E54">
      <w:pPr>
        <w:jc w:val="center"/>
        <w:rPr>
          <w:b/>
          <w:szCs w:val="20"/>
          <w:u w:val="single"/>
        </w:rPr>
      </w:pPr>
      <w:r w:rsidRPr="003D5AB5">
        <w:rPr>
          <w:b/>
          <w:szCs w:val="20"/>
          <w:u w:val="single"/>
        </w:rPr>
        <w:t>CBRS</w:t>
      </w:r>
      <w:r w:rsidRPr="003D5AB5" w:rsidR="00B14E54">
        <w:rPr>
          <w:b/>
          <w:szCs w:val="20"/>
          <w:u w:val="single"/>
        </w:rPr>
        <w:t xml:space="preserve"> Report and Order: Fixing </w:t>
      </w:r>
      <w:r w:rsidRPr="003D5AB5" w:rsidR="00BA5EB4">
        <w:rPr>
          <w:b/>
          <w:szCs w:val="20"/>
          <w:u w:val="single"/>
        </w:rPr>
        <w:t xml:space="preserve">the </w:t>
      </w:r>
      <w:r w:rsidRPr="003D5AB5" w:rsidR="00B14E54">
        <w:rPr>
          <w:b/>
          <w:szCs w:val="20"/>
          <w:u w:val="single"/>
        </w:rPr>
        <w:t xml:space="preserve">Rules to Enable </w:t>
      </w:r>
      <w:r w:rsidRPr="003D5AB5" w:rsidR="00A40627">
        <w:rPr>
          <w:b/>
          <w:szCs w:val="20"/>
          <w:u w:val="single"/>
        </w:rPr>
        <w:t xml:space="preserve">Mid-Band </w:t>
      </w:r>
      <w:r w:rsidRPr="003D5AB5" w:rsidR="00B14E54">
        <w:rPr>
          <w:b/>
          <w:szCs w:val="20"/>
          <w:u w:val="single"/>
        </w:rPr>
        <w:t>5G</w:t>
      </w:r>
    </w:p>
    <w:p w:rsidR="00B14E54" w:rsidRPr="003D5AB5">
      <w:pPr>
        <w:rPr>
          <w:b/>
          <w:szCs w:val="20"/>
          <w:u w:val="single"/>
        </w:rPr>
      </w:pPr>
    </w:p>
    <w:p w:rsidR="00E937EE" w:rsidRPr="003D5AB5">
      <w:pPr>
        <w:rPr>
          <w:szCs w:val="20"/>
        </w:rPr>
      </w:pPr>
      <w:r w:rsidRPr="003D5AB5">
        <w:rPr>
          <w:szCs w:val="20"/>
        </w:rPr>
        <w:t xml:space="preserve">The Commission </w:t>
      </w:r>
      <w:r w:rsidRPr="003D5AB5" w:rsidR="00240004">
        <w:rPr>
          <w:szCs w:val="20"/>
        </w:rPr>
        <w:t>will consider an item</w:t>
      </w:r>
      <w:r w:rsidRPr="003D5AB5">
        <w:rPr>
          <w:szCs w:val="20"/>
        </w:rPr>
        <w:t xml:space="preserve"> </w:t>
      </w:r>
      <w:r w:rsidRPr="003D5AB5" w:rsidR="00240004">
        <w:rPr>
          <w:szCs w:val="20"/>
        </w:rPr>
        <w:t xml:space="preserve">at its </w:t>
      </w:r>
      <w:r w:rsidRPr="003D5AB5">
        <w:rPr>
          <w:szCs w:val="20"/>
        </w:rPr>
        <w:t xml:space="preserve">next </w:t>
      </w:r>
      <w:r w:rsidRPr="003D5AB5" w:rsidR="00240004">
        <w:rPr>
          <w:szCs w:val="20"/>
        </w:rPr>
        <w:t xml:space="preserve">Open Meeting </w:t>
      </w:r>
      <w:r w:rsidRPr="003D5AB5">
        <w:rPr>
          <w:szCs w:val="20"/>
        </w:rPr>
        <w:t xml:space="preserve">to revise its existing rules governing the Citizens Band Radio Services (CBRS), </w:t>
      </w:r>
      <w:r w:rsidRPr="003D5AB5" w:rsidR="00240004">
        <w:rPr>
          <w:szCs w:val="20"/>
        </w:rPr>
        <w:t xml:space="preserve">which will utilize </w:t>
      </w:r>
      <w:r w:rsidRPr="003D5AB5" w:rsidR="00A40627">
        <w:rPr>
          <w:szCs w:val="20"/>
        </w:rPr>
        <w:t xml:space="preserve">spectrum between </w:t>
      </w:r>
      <w:r w:rsidRPr="003D5AB5">
        <w:rPr>
          <w:szCs w:val="20"/>
        </w:rPr>
        <w:t>3.55 to 3.7</w:t>
      </w:r>
      <w:r w:rsidR="00D81DB7">
        <w:rPr>
          <w:szCs w:val="20"/>
        </w:rPr>
        <w:t>0</w:t>
      </w:r>
      <w:r w:rsidRPr="003D5AB5">
        <w:rPr>
          <w:szCs w:val="20"/>
        </w:rPr>
        <w:t xml:space="preserve"> GHz.  In doing so,</w:t>
      </w:r>
      <w:r w:rsidR="00D70B1D">
        <w:rPr>
          <w:szCs w:val="20"/>
        </w:rPr>
        <w:t xml:space="preserve"> the focus will be on</w:t>
      </w:r>
      <w:r w:rsidRPr="003D5AB5">
        <w:rPr>
          <w:szCs w:val="20"/>
        </w:rPr>
        <w:t xml:space="preserve"> correct</w:t>
      </w:r>
      <w:r w:rsidR="00D70B1D">
        <w:rPr>
          <w:szCs w:val="20"/>
        </w:rPr>
        <w:t>ing</w:t>
      </w:r>
      <w:r w:rsidRPr="003D5AB5">
        <w:rPr>
          <w:szCs w:val="20"/>
        </w:rPr>
        <w:t xml:space="preserve"> policy </w:t>
      </w:r>
      <w:r w:rsidRPr="003D5AB5" w:rsidR="005B06BA">
        <w:rPr>
          <w:szCs w:val="20"/>
        </w:rPr>
        <w:t>mistake</w:t>
      </w:r>
      <w:r w:rsidRPr="003D5AB5">
        <w:rPr>
          <w:szCs w:val="20"/>
        </w:rPr>
        <w:t xml:space="preserve">s </w:t>
      </w:r>
      <w:r w:rsidRPr="003D5AB5" w:rsidR="00370D68">
        <w:rPr>
          <w:szCs w:val="20"/>
        </w:rPr>
        <w:t xml:space="preserve">made </w:t>
      </w:r>
      <w:r w:rsidRPr="003D5AB5" w:rsidR="008700EF">
        <w:rPr>
          <w:szCs w:val="20"/>
        </w:rPr>
        <w:t xml:space="preserve">pertaining to the Priority Access Licenses (PALs) </w:t>
      </w:r>
      <w:r w:rsidR="00D70B1D">
        <w:rPr>
          <w:szCs w:val="20"/>
        </w:rPr>
        <w:t xml:space="preserve">back </w:t>
      </w:r>
      <w:r w:rsidRPr="003D5AB5">
        <w:rPr>
          <w:szCs w:val="20"/>
        </w:rPr>
        <w:t xml:space="preserve">when rules were adopted in </w:t>
      </w:r>
      <w:r w:rsidR="00FE74BB">
        <w:rPr>
          <w:szCs w:val="20"/>
        </w:rPr>
        <w:t>April 2015 &amp; May 2016</w:t>
      </w:r>
      <w:r w:rsidRPr="003D5AB5" w:rsidR="00BB1791">
        <w:rPr>
          <w:szCs w:val="20"/>
        </w:rPr>
        <w:t>.</w:t>
      </w:r>
      <w:r w:rsidRPr="003D5AB5" w:rsidR="006D0984">
        <w:rPr>
          <w:szCs w:val="20"/>
        </w:rPr>
        <w:t xml:space="preserve">  </w:t>
      </w:r>
    </w:p>
    <w:p w:rsidR="00E937EE" w:rsidRPr="003D5AB5">
      <w:pPr>
        <w:rPr>
          <w:szCs w:val="20"/>
        </w:rPr>
      </w:pPr>
    </w:p>
    <w:p w:rsidR="00BB1791" w:rsidRPr="003D5AB5">
      <w:pPr>
        <w:rPr>
          <w:szCs w:val="20"/>
        </w:rPr>
      </w:pPr>
      <w:r w:rsidRPr="003D5AB5">
        <w:rPr>
          <w:szCs w:val="20"/>
        </w:rPr>
        <w:t xml:space="preserve">While </w:t>
      </w:r>
      <w:r w:rsidRPr="003D5AB5" w:rsidR="008700EF">
        <w:rPr>
          <w:szCs w:val="20"/>
        </w:rPr>
        <w:t>thoughtfully consider</w:t>
      </w:r>
      <w:r w:rsidR="00E119E6">
        <w:rPr>
          <w:szCs w:val="20"/>
        </w:rPr>
        <w:t>ing</w:t>
      </w:r>
      <w:r w:rsidRPr="003D5AB5" w:rsidR="008700EF">
        <w:rPr>
          <w:szCs w:val="20"/>
        </w:rPr>
        <w:t xml:space="preserve"> all proposals</w:t>
      </w:r>
      <w:r w:rsidR="00E119E6">
        <w:rPr>
          <w:szCs w:val="20"/>
        </w:rPr>
        <w:t xml:space="preserve"> to improve the PALs has taken quite a bit of time</w:t>
      </w:r>
      <w:r w:rsidRPr="003D5AB5">
        <w:rPr>
          <w:szCs w:val="20"/>
        </w:rPr>
        <w:t xml:space="preserve">, </w:t>
      </w:r>
      <w:r w:rsidRPr="003D5AB5" w:rsidR="00E937EE">
        <w:rPr>
          <w:szCs w:val="20"/>
        </w:rPr>
        <w:t>th</w:t>
      </w:r>
      <w:r w:rsidRPr="003D5AB5">
        <w:rPr>
          <w:szCs w:val="20"/>
        </w:rPr>
        <w:t xml:space="preserve">is </w:t>
      </w:r>
      <w:r w:rsidRPr="003D5AB5" w:rsidR="00D260BC">
        <w:rPr>
          <w:szCs w:val="20"/>
        </w:rPr>
        <w:t>process</w:t>
      </w:r>
      <w:r w:rsidRPr="003D5AB5">
        <w:rPr>
          <w:szCs w:val="20"/>
        </w:rPr>
        <w:t xml:space="preserve"> has</w:t>
      </w:r>
      <w:r w:rsidRPr="003D5AB5" w:rsidR="00A40627">
        <w:rPr>
          <w:szCs w:val="20"/>
        </w:rPr>
        <w:t xml:space="preserve"> not</w:t>
      </w:r>
      <w:r w:rsidRPr="003D5AB5">
        <w:rPr>
          <w:szCs w:val="20"/>
        </w:rPr>
        <w:t xml:space="preserve"> delayed the </w:t>
      </w:r>
      <w:r w:rsidRPr="003D5AB5" w:rsidR="00A40627">
        <w:rPr>
          <w:szCs w:val="20"/>
        </w:rPr>
        <w:t>initiation</w:t>
      </w:r>
      <w:r w:rsidRPr="003D5AB5">
        <w:rPr>
          <w:szCs w:val="20"/>
        </w:rPr>
        <w:t xml:space="preserve"> of CBRS</w:t>
      </w:r>
      <w:r w:rsidRPr="003D5AB5" w:rsidR="00A62944">
        <w:rPr>
          <w:szCs w:val="20"/>
        </w:rPr>
        <w:t>,</w:t>
      </w:r>
      <w:r w:rsidRPr="003D5AB5" w:rsidR="008700EF">
        <w:rPr>
          <w:szCs w:val="20"/>
        </w:rPr>
        <w:t xml:space="preserve"> as both </w:t>
      </w:r>
      <w:r w:rsidRPr="003D5AB5" w:rsidR="00814E03">
        <w:rPr>
          <w:szCs w:val="20"/>
        </w:rPr>
        <w:t xml:space="preserve">PALs </w:t>
      </w:r>
      <w:r w:rsidRPr="003D5AB5" w:rsidR="00A40627">
        <w:rPr>
          <w:szCs w:val="20"/>
        </w:rPr>
        <w:t xml:space="preserve">and General Authorized Access (GAA) </w:t>
      </w:r>
      <w:r w:rsidRPr="003D5AB5" w:rsidR="008700EF">
        <w:rPr>
          <w:szCs w:val="20"/>
        </w:rPr>
        <w:t xml:space="preserve">are </w:t>
      </w:r>
      <w:r w:rsidRPr="003D5AB5" w:rsidR="00A40627">
        <w:rPr>
          <w:szCs w:val="20"/>
        </w:rPr>
        <w:t xml:space="preserve">dependent on fully operational </w:t>
      </w:r>
      <w:r w:rsidRPr="003D5AB5" w:rsidR="00D260BC">
        <w:rPr>
          <w:szCs w:val="20"/>
        </w:rPr>
        <w:t xml:space="preserve">SAS </w:t>
      </w:r>
      <w:r w:rsidRPr="003D5AB5" w:rsidR="0070077D">
        <w:rPr>
          <w:szCs w:val="20"/>
        </w:rPr>
        <w:t xml:space="preserve">systems </w:t>
      </w:r>
      <w:r w:rsidRPr="003D5AB5" w:rsidR="00A40627">
        <w:rPr>
          <w:szCs w:val="20"/>
        </w:rPr>
        <w:t>(</w:t>
      </w:r>
      <w:r w:rsidRPr="003D5AB5" w:rsidR="00D260BC">
        <w:rPr>
          <w:szCs w:val="20"/>
        </w:rPr>
        <w:t xml:space="preserve">and ESC </w:t>
      </w:r>
      <w:r w:rsidRPr="003D5AB5" w:rsidR="005273C1">
        <w:rPr>
          <w:szCs w:val="20"/>
        </w:rPr>
        <w:t xml:space="preserve">systems </w:t>
      </w:r>
      <w:r w:rsidRPr="003D5AB5" w:rsidR="00A40627">
        <w:rPr>
          <w:szCs w:val="20"/>
        </w:rPr>
        <w:t>where needed)</w:t>
      </w:r>
      <w:r w:rsidRPr="003D5AB5" w:rsidR="00814E03">
        <w:rPr>
          <w:szCs w:val="20"/>
        </w:rPr>
        <w:t>,</w:t>
      </w:r>
      <w:r w:rsidRPr="003D5AB5" w:rsidR="00A40627">
        <w:rPr>
          <w:szCs w:val="20"/>
        </w:rPr>
        <w:t xml:space="preserve"> which are still </w:t>
      </w:r>
      <w:r w:rsidRPr="003D5AB5" w:rsidR="005273C1">
        <w:rPr>
          <w:szCs w:val="20"/>
        </w:rPr>
        <w:t xml:space="preserve">being considered under the </w:t>
      </w:r>
      <w:r w:rsidRPr="003D5AB5" w:rsidR="00A40627">
        <w:rPr>
          <w:szCs w:val="20"/>
        </w:rPr>
        <w:t>Commission’s approval process</w:t>
      </w:r>
      <w:r w:rsidRPr="003D5AB5" w:rsidR="00D260BC">
        <w:rPr>
          <w:szCs w:val="20"/>
        </w:rPr>
        <w:t xml:space="preserve">.  </w:t>
      </w:r>
      <w:r w:rsidRPr="003D5AB5" w:rsidR="008700EF">
        <w:rPr>
          <w:szCs w:val="20"/>
        </w:rPr>
        <w:t>W</w:t>
      </w:r>
      <w:r w:rsidRPr="003D5AB5" w:rsidR="00A40627">
        <w:rPr>
          <w:szCs w:val="20"/>
        </w:rPr>
        <w:t xml:space="preserve">ith this decision, </w:t>
      </w:r>
      <w:r w:rsidRPr="003D5AB5" w:rsidR="008700EF">
        <w:rPr>
          <w:szCs w:val="20"/>
        </w:rPr>
        <w:t xml:space="preserve">it is expected that </w:t>
      </w:r>
      <w:r w:rsidRPr="003D5AB5" w:rsidR="0070077D">
        <w:rPr>
          <w:szCs w:val="20"/>
        </w:rPr>
        <w:t xml:space="preserve">the </w:t>
      </w:r>
      <w:r w:rsidRPr="003D5AB5">
        <w:rPr>
          <w:szCs w:val="20"/>
        </w:rPr>
        <w:t xml:space="preserve">PALs </w:t>
      </w:r>
      <w:r w:rsidRPr="003D5AB5" w:rsidR="008700EF">
        <w:rPr>
          <w:szCs w:val="20"/>
        </w:rPr>
        <w:t xml:space="preserve">auction can occur </w:t>
      </w:r>
      <w:r w:rsidRPr="003D5AB5">
        <w:rPr>
          <w:szCs w:val="20"/>
        </w:rPr>
        <w:t>next year</w:t>
      </w:r>
      <w:r w:rsidR="009212F0">
        <w:rPr>
          <w:szCs w:val="20"/>
        </w:rPr>
        <w:t xml:space="preserve">, if consistent with </w:t>
      </w:r>
      <w:r w:rsidR="00F265F6">
        <w:rPr>
          <w:szCs w:val="20"/>
        </w:rPr>
        <w:t xml:space="preserve">other </w:t>
      </w:r>
      <w:r w:rsidR="009212F0">
        <w:rPr>
          <w:szCs w:val="20"/>
        </w:rPr>
        <w:t>auction</w:t>
      </w:r>
      <w:r w:rsidR="00F265F6">
        <w:rPr>
          <w:szCs w:val="20"/>
        </w:rPr>
        <w:t>s to be</w:t>
      </w:r>
      <w:r w:rsidR="009212F0">
        <w:rPr>
          <w:szCs w:val="20"/>
        </w:rPr>
        <w:t xml:space="preserve"> schedule</w:t>
      </w:r>
      <w:r w:rsidR="00F265F6">
        <w:rPr>
          <w:szCs w:val="20"/>
        </w:rPr>
        <w:t>d.</w:t>
      </w:r>
      <w:r w:rsidRPr="003D5AB5">
        <w:rPr>
          <w:szCs w:val="20"/>
        </w:rPr>
        <w:t xml:space="preserve">  </w:t>
      </w:r>
    </w:p>
    <w:p w:rsidR="00B14E54" w:rsidRPr="003D5AB5">
      <w:pPr>
        <w:rPr>
          <w:szCs w:val="20"/>
        </w:rPr>
      </w:pPr>
    </w:p>
    <w:p w:rsidR="00B14E54" w:rsidRPr="003D5AB5" w:rsidP="00B14E54">
      <w:pPr>
        <w:rPr>
          <w:i/>
          <w:szCs w:val="20"/>
        </w:rPr>
      </w:pPr>
      <w:r w:rsidRPr="003D5AB5">
        <w:rPr>
          <w:i/>
          <w:szCs w:val="20"/>
        </w:rPr>
        <w:t>Geographic License Sizes</w:t>
      </w:r>
    </w:p>
    <w:p w:rsidR="00B14E54" w:rsidRPr="003D5AB5">
      <w:pPr>
        <w:rPr>
          <w:szCs w:val="20"/>
        </w:rPr>
      </w:pPr>
    </w:p>
    <w:p w:rsidR="00904F22" w:rsidRPr="003D5AB5">
      <w:pPr>
        <w:rPr>
          <w:szCs w:val="20"/>
        </w:rPr>
      </w:pPr>
      <w:r>
        <w:rPr>
          <w:szCs w:val="20"/>
        </w:rPr>
        <w:t>T</w:t>
      </w:r>
      <w:r w:rsidRPr="003D5AB5" w:rsidR="00B05B1B">
        <w:rPr>
          <w:szCs w:val="20"/>
        </w:rPr>
        <w:t xml:space="preserve">o </w:t>
      </w:r>
      <w:r w:rsidRPr="003D5AB5" w:rsidR="00370D68">
        <w:rPr>
          <w:szCs w:val="20"/>
        </w:rPr>
        <w:t>ensure that all interested parties are treated fairly</w:t>
      </w:r>
      <w:r w:rsidRPr="003D5AB5" w:rsidR="00B05B1B">
        <w:rPr>
          <w:szCs w:val="20"/>
        </w:rPr>
        <w:t xml:space="preserve"> in the band, t</w:t>
      </w:r>
      <w:r w:rsidRPr="003D5AB5" w:rsidR="00E67A90">
        <w:rPr>
          <w:szCs w:val="20"/>
        </w:rPr>
        <w:t xml:space="preserve">he </w:t>
      </w:r>
      <w:r w:rsidR="0026282F">
        <w:rPr>
          <w:szCs w:val="20"/>
        </w:rPr>
        <w:t xml:space="preserve">draft </w:t>
      </w:r>
      <w:r w:rsidRPr="003D5AB5" w:rsidR="00E67A90">
        <w:rPr>
          <w:szCs w:val="20"/>
        </w:rPr>
        <w:t xml:space="preserve">item proposes </w:t>
      </w:r>
      <w:r>
        <w:rPr>
          <w:szCs w:val="20"/>
        </w:rPr>
        <w:t>to auction</w:t>
      </w:r>
      <w:r w:rsidRPr="003D5AB5" w:rsidR="00E67A90">
        <w:rPr>
          <w:szCs w:val="20"/>
        </w:rPr>
        <w:t xml:space="preserve"> licenses by counties instead of by census tracts</w:t>
      </w:r>
      <w:r w:rsidRPr="003D5AB5" w:rsidR="00CE0FCA">
        <w:rPr>
          <w:szCs w:val="20"/>
        </w:rPr>
        <w:t>, with an option to bid for all counties in the largest markets as a package</w:t>
      </w:r>
      <w:r w:rsidRPr="003D5AB5" w:rsidR="00E67A90">
        <w:rPr>
          <w:szCs w:val="20"/>
        </w:rPr>
        <w:t xml:space="preserve">.  </w:t>
      </w:r>
      <w:r w:rsidRPr="003D5AB5">
        <w:rPr>
          <w:szCs w:val="20"/>
        </w:rPr>
        <w:t>This fixes a number of fundamental</w:t>
      </w:r>
      <w:r w:rsidRPr="003D5AB5" w:rsidR="009F6463">
        <w:rPr>
          <w:szCs w:val="20"/>
        </w:rPr>
        <w:t>ly flawed issues with the current rules</w:t>
      </w:r>
      <w:r w:rsidRPr="003D5AB5">
        <w:rPr>
          <w:szCs w:val="20"/>
        </w:rPr>
        <w:t xml:space="preserve">: </w:t>
      </w:r>
    </w:p>
    <w:p w:rsidR="00E67A90" w:rsidP="009F6463">
      <w:pPr>
        <w:pStyle w:val="ListParagraph"/>
        <w:numPr>
          <w:ilvl w:val="0"/>
          <w:numId w:val="3"/>
        </w:numPr>
        <w:ind w:left="720"/>
        <w:rPr>
          <w:szCs w:val="20"/>
        </w:rPr>
      </w:pPr>
      <w:r w:rsidRPr="003D5AB5">
        <w:rPr>
          <w:szCs w:val="20"/>
          <w:u w:val="single"/>
        </w:rPr>
        <w:t xml:space="preserve">Lacking </w:t>
      </w:r>
      <w:r w:rsidR="00D70B1D">
        <w:rPr>
          <w:szCs w:val="20"/>
          <w:u w:val="single"/>
        </w:rPr>
        <w:t xml:space="preserve">Auction </w:t>
      </w:r>
      <w:r w:rsidRPr="003D5AB5">
        <w:rPr>
          <w:szCs w:val="20"/>
          <w:u w:val="single"/>
        </w:rPr>
        <w:t>Capability</w:t>
      </w:r>
      <w:r w:rsidRPr="003D5AB5">
        <w:rPr>
          <w:szCs w:val="20"/>
        </w:rPr>
        <w:t xml:space="preserve"> – </w:t>
      </w:r>
      <w:r w:rsidRPr="003D5AB5" w:rsidR="00E6536D">
        <w:rPr>
          <w:szCs w:val="20"/>
        </w:rPr>
        <w:t>T</w:t>
      </w:r>
      <w:r w:rsidRPr="003D5AB5">
        <w:rPr>
          <w:szCs w:val="20"/>
        </w:rPr>
        <w:t>he Commission does not</w:t>
      </w:r>
      <w:r w:rsidRPr="003D5AB5" w:rsidR="00370D68">
        <w:rPr>
          <w:szCs w:val="20"/>
        </w:rPr>
        <w:t>,</w:t>
      </w:r>
      <w:r w:rsidRPr="003D5AB5">
        <w:rPr>
          <w:szCs w:val="20"/>
        </w:rPr>
        <w:t xml:space="preserve"> and will not for the foreseeable future</w:t>
      </w:r>
      <w:r w:rsidRPr="003D5AB5" w:rsidR="00370D68">
        <w:rPr>
          <w:szCs w:val="20"/>
        </w:rPr>
        <w:t>,</w:t>
      </w:r>
      <w:r w:rsidRPr="003D5AB5">
        <w:rPr>
          <w:szCs w:val="20"/>
        </w:rPr>
        <w:t xml:space="preserve"> have the capability to hold a forward auction for </w:t>
      </w:r>
      <w:r w:rsidRPr="003D5AB5" w:rsidR="00EA6490">
        <w:rPr>
          <w:szCs w:val="20"/>
        </w:rPr>
        <w:t>the number</w:t>
      </w:r>
      <w:r w:rsidRPr="003D5AB5">
        <w:rPr>
          <w:szCs w:val="20"/>
        </w:rPr>
        <w:t xml:space="preserve"> </w:t>
      </w:r>
      <w:r w:rsidR="00E119E6">
        <w:rPr>
          <w:szCs w:val="20"/>
        </w:rPr>
        <w:t xml:space="preserve">of </w:t>
      </w:r>
      <w:r w:rsidRPr="003D5AB5" w:rsidR="00370D68">
        <w:rPr>
          <w:szCs w:val="20"/>
        </w:rPr>
        <w:t xml:space="preserve">market </w:t>
      </w:r>
      <w:r w:rsidRPr="003D5AB5">
        <w:rPr>
          <w:szCs w:val="20"/>
        </w:rPr>
        <w:t xml:space="preserve">areas </w:t>
      </w:r>
      <w:r w:rsidRPr="003D5AB5" w:rsidR="00EA6490">
        <w:rPr>
          <w:szCs w:val="20"/>
        </w:rPr>
        <w:t>created by</w:t>
      </w:r>
      <w:r w:rsidRPr="003D5AB5">
        <w:rPr>
          <w:szCs w:val="20"/>
        </w:rPr>
        <w:t xml:space="preserve"> census tract </w:t>
      </w:r>
      <w:r w:rsidRPr="003D5AB5" w:rsidR="00EA6490">
        <w:rPr>
          <w:szCs w:val="20"/>
        </w:rPr>
        <w:t>licensing</w:t>
      </w:r>
      <w:r w:rsidRPr="003D5AB5">
        <w:rPr>
          <w:szCs w:val="20"/>
        </w:rPr>
        <w:t xml:space="preserve"> (i.e., 74,000).  The current rules </w:t>
      </w:r>
      <w:r w:rsidRPr="003D5AB5" w:rsidR="00370D68">
        <w:rPr>
          <w:szCs w:val="20"/>
        </w:rPr>
        <w:t>would have generated</w:t>
      </w:r>
      <w:r w:rsidRPr="003D5AB5">
        <w:rPr>
          <w:szCs w:val="20"/>
        </w:rPr>
        <w:t xml:space="preserve"> a fa</w:t>
      </w:r>
      <w:r w:rsidRPr="003D5AB5" w:rsidR="009F6463">
        <w:rPr>
          <w:szCs w:val="20"/>
        </w:rPr>
        <w:t>ke</w:t>
      </w:r>
      <w:r w:rsidRPr="003D5AB5">
        <w:rPr>
          <w:szCs w:val="20"/>
        </w:rPr>
        <w:t xml:space="preserve"> auction based on one-time sealed bids, which would have undervalued the licenses and </w:t>
      </w:r>
      <w:r w:rsidRPr="003D5AB5" w:rsidR="009F6463">
        <w:rPr>
          <w:szCs w:val="20"/>
        </w:rPr>
        <w:t xml:space="preserve">tainted </w:t>
      </w:r>
      <w:r w:rsidRPr="003D5AB5">
        <w:rPr>
          <w:szCs w:val="20"/>
        </w:rPr>
        <w:t>the outcomes</w:t>
      </w:r>
      <w:r w:rsidRPr="003D5AB5" w:rsidR="009F6463">
        <w:rPr>
          <w:szCs w:val="20"/>
        </w:rPr>
        <w:t xml:space="preserve"> to the detriment of the American people.  </w:t>
      </w:r>
      <w:r w:rsidRPr="003D5AB5" w:rsidR="007A1D96">
        <w:rPr>
          <w:szCs w:val="20"/>
        </w:rPr>
        <w:t>In fact, t</w:t>
      </w:r>
      <w:r w:rsidRPr="003D5AB5" w:rsidR="00CE0FCA">
        <w:rPr>
          <w:szCs w:val="20"/>
        </w:rPr>
        <w:t xml:space="preserve">he Commission’s auction software </w:t>
      </w:r>
      <w:r w:rsidRPr="003D5AB5" w:rsidR="007A1D96">
        <w:rPr>
          <w:szCs w:val="20"/>
        </w:rPr>
        <w:t xml:space="preserve">will have to be </w:t>
      </w:r>
      <w:r w:rsidRPr="003D5AB5" w:rsidR="00CE0FCA">
        <w:rPr>
          <w:szCs w:val="20"/>
        </w:rPr>
        <w:t xml:space="preserve">modified </w:t>
      </w:r>
      <w:r w:rsidRPr="003D5AB5" w:rsidR="007A1D96">
        <w:rPr>
          <w:szCs w:val="20"/>
        </w:rPr>
        <w:t xml:space="preserve">just </w:t>
      </w:r>
      <w:r w:rsidRPr="003D5AB5" w:rsidR="00CE0FCA">
        <w:rPr>
          <w:szCs w:val="20"/>
        </w:rPr>
        <w:t>to handle the more than 3</w:t>
      </w:r>
      <w:r w:rsidR="00E119E6">
        <w:rPr>
          <w:szCs w:val="20"/>
        </w:rPr>
        <w:t>,</w:t>
      </w:r>
      <w:r w:rsidRPr="003D5AB5" w:rsidR="00CE0FCA">
        <w:rPr>
          <w:szCs w:val="20"/>
        </w:rPr>
        <w:t>000 counties</w:t>
      </w:r>
      <w:r w:rsidR="00E119E6">
        <w:rPr>
          <w:szCs w:val="20"/>
        </w:rPr>
        <w:t xml:space="preserve"> this proposal adopts</w:t>
      </w:r>
      <w:r w:rsidRPr="003D5AB5" w:rsidR="00CE0FCA">
        <w:rPr>
          <w:szCs w:val="20"/>
        </w:rPr>
        <w:t xml:space="preserve">.  </w:t>
      </w:r>
    </w:p>
    <w:p w:rsidR="00D70B1D" w:rsidP="009F6463">
      <w:pPr>
        <w:pStyle w:val="ListParagraph"/>
        <w:numPr>
          <w:ilvl w:val="0"/>
          <w:numId w:val="3"/>
        </w:numPr>
        <w:ind w:left="720"/>
        <w:rPr>
          <w:szCs w:val="20"/>
        </w:rPr>
      </w:pPr>
      <w:r w:rsidRPr="00C63C92">
        <w:rPr>
          <w:szCs w:val="20"/>
          <w:u w:val="single"/>
        </w:rPr>
        <w:t>Interference</w:t>
      </w:r>
      <w:r>
        <w:rPr>
          <w:szCs w:val="20"/>
          <w:u w:val="single"/>
        </w:rPr>
        <w:t xml:space="preserve"> </w:t>
      </w:r>
      <w:r>
        <w:rPr>
          <w:szCs w:val="20"/>
        </w:rPr>
        <w:t xml:space="preserve">– Due to the number </w:t>
      </w:r>
      <w:r w:rsidR="00C63C92">
        <w:rPr>
          <w:szCs w:val="20"/>
        </w:rPr>
        <w:t xml:space="preserve">of </w:t>
      </w:r>
      <w:r>
        <w:rPr>
          <w:szCs w:val="20"/>
        </w:rPr>
        <w:t>borders created and the small size of census tracts, harmful interference will be difficult to manage</w:t>
      </w:r>
      <w:r w:rsidR="00C63C92">
        <w:rPr>
          <w:szCs w:val="20"/>
        </w:rPr>
        <w:t xml:space="preserve"> at license edge</w:t>
      </w:r>
      <w:r w:rsidR="00114EF6">
        <w:rPr>
          <w:szCs w:val="20"/>
        </w:rPr>
        <w:t>s</w:t>
      </w:r>
      <w:r>
        <w:rPr>
          <w:szCs w:val="20"/>
        </w:rPr>
        <w:t xml:space="preserve">.  Further, uplink and downlink </w:t>
      </w:r>
      <w:r w:rsidR="00795D59">
        <w:rPr>
          <w:szCs w:val="20"/>
        </w:rPr>
        <w:t>may</w:t>
      </w:r>
      <w:r>
        <w:rPr>
          <w:szCs w:val="20"/>
        </w:rPr>
        <w:t xml:space="preserve"> be provided in the same spectrum </w:t>
      </w:r>
      <w:r w:rsidR="00C63C92">
        <w:rPr>
          <w:szCs w:val="20"/>
        </w:rPr>
        <w:t>band</w:t>
      </w:r>
      <w:r>
        <w:rPr>
          <w:szCs w:val="20"/>
        </w:rPr>
        <w:t>s, increasing the odds of interference with neighboring PALs</w:t>
      </w:r>
      <w:r w:rsidR="00C63C92">
        <w:rPr>
          <w:szCs w:val="20"/>
        </w:rPr>
        <w:t>, unless all surrounding licensees can agree to synchronize operations</w:t>
      </w:r>
      <w:r>
        <w:rPr>
          <w:szCs w:val="20"/>
        </w:rPr>
        <w:t>.</w:t>
      </w:r>
    </w:p>
    <w:p w:rsidR="001E34F9" w:rsidRPr="000E0F3F" w:rsidP="000E0F3F">
      <w:pPr>
        <w:pStyle w:val="ListParagraph"/>
        <w:numPr>
          <w:ilvl w:val="0"/>
          <w:numId w:val="3"/>
        </w:numPr>
        <w:ind w:left="720"/>
        <w:rPr>
          <w:szCs w:val="20"/>
        </w:rPr>
      </w:pPr>
      <w:r w:rsidRPr="00897891">
        <w:rPr>
          <w:szCs w:val="20"/>
          <w:u w:val="single"/>
        </w:rPr>
        <w:t>Return to Successful Licensing Structure</w:t>
      </w:r>
      <w:r w:rsidRPr="00897891" w:rsidR="00897891">
        <w:rPr>
          <w:szCs w:val="20"/>
        </w:rPr>
        <w:t xml:space="preserve"> </w:t>
      </w:r>
      <w:r w:rsidR="000E0F3F">
        <w:rPr>
          <w:szCs w:val="20"/>
        </w:rPr>
        <w:t>–</w:t>
      </w:r>
      <w:r>
        <w:rPr>
          <w:szCs w:val="20"/>
        </w:rPr>
        <w:t xml:space="preserve"> </w:t>
      </w:r>
      <w:r w:rsidRPr="000E0F3F">
        <w:rPr>
          <w:szCs w:val="20"/>
        </w:rPr>
        <w:t>These licenses will have performance requirements, will be offered with standard bidding credits, and can be partitioned and disaggregated like standard licenses.</w:t>
      </w:r>
    </w:p>
    <w:p w:rsidR="001E34F9" w:rsidP="009A605A">
      <w:pPr>
        <w:rPr>
          <w:szCs w:val="20"/>
        </w:rPr>
      </w:pPr>
    </w:p>
    <w:p w:rsidR="001E34F9" w:rsidRPr="001E34F9" w:rsidP="009A605A">
      <w:pPr>
        <w:rPr>
          <w:szCs w:val="20"/>
        </w:rPr>
      </w:pPr>
      <w:r>
        <w:rPr>
          <w:szCs w:val="20"/>
        </w:rPr>
        <w:t xml:space="preserve">In coming to this conclusion other compromises were considered and </w:t>
      </w:r>
      <w:r w:rsidR="00897891">
        <w:rPr>
          <w:szCs w:val="20"/>
        </w:rPr>
        <w:t>disregarded</w:t>
      </w:r>
      <w:r>
        <w:rPr>
          <w:szCs w:val="20"/>
        </w:rPr>
        <w:t>, including:</w:t>
      </w:r>
    </w:p>
    <w:p w:rsidR="00904F22" w:rsidRPr="003D5AB5" w:rsidP="00E6536D">
      <w:pPr>
        <w:pStyle w:val="ListParagraph"/>
        <w:numPr>
          <w:ilvl w:val="0"/>
          <w:numId w:val="3"/>
        </w:numPr>
        <w:ind w:left="720"/>
        <w:rPr>
          <w:szCs w:val="20"/>
        </w:rPr>
      </w:pPr>
      <w:r w:rsidRPr="003D5AB5">
        <w:rPr>
          <w:szCs w:val="20"/>
          <w:u w:val="single"/>
        </w:rPr>
        <w:t>Infeasibility of Hybrid Approach</w:t>
      </w:r>
      <w:r w:rsidRPr="003D5AB5">
        <w:rPr>
          <w:szCs w:val="20"/>
        </w:rPr>
        <w:t xml:space="preserve"> – </w:t>
      </w:r>
      <w:r w:rsidRPr="003D5AB5" w:rsidR="002215AD">
        <w:rPr>
          <w:szCs w:val="20"/>
        </w:rPr>
        <w:t xml:space="preserve">While some advocated to </w:t>
      </w:r>
      <w:r w:rsidRPr="003D5AB5" w:rsidR="00CE0FCA">
        <w:rPr>
          <w:szCs w:val="20"/>
        </w:rPr>
        <w:t xml:space="preserve">offer different license sizes within a geographic area (i.e., some by </w:t>
      </w:r>
      <w:r w:rsidRPr="003D5AB5" w:rsidR="002215AD">
        <w:rPr>
          <w:szCs w:val="20"/>
        </w:rPr>
        <w:t xml:space="preserve">census </w:t>
      </w:r>
      <w:r w:rsidRPr="003D5AB5" w:rsidR="00CE0FCA">
        <w:rPr>
          <w:szCs w:val="20"/>
        </w:rPr>
        <w:t xml:space="preserve">tract </w:t>
      </w:r>
      <w:r w:rsidRPr="003D5AB5" w:rsidR="002215AD">
        <w:rPr>
          <w:szCs w:val="20"/>
        </w:rPr>
        <w:t>licenses</w:t>
      </w:r>
      <w:r w:rsidRPr="003D5AB5" w:rsidR="00CE0FCA">
        <w:rPr>
          <w:szCs w:val="20"/>
        </w:rPr>
        <w:t>,</w:t>
      </w:r>
      <w:r w:rsidRPr="003D5AB5" w:rsidR="002215AD">
        <w:rPr>
          <w:szCs w:val="20"/>
        </w:rPr>
        <w:t xml:space="preserve"> </w:t>
      </w:r>
      <w:r w:rsidRPr="003D5AB5" w:rsidR="00CE0FCA">
        <w:rPr>
          <w:szCs w:val="20"/>
        </w:rPr>
        <w:t xml:space="preserve">some </w:t>
      </w:r>
      <w:r w:rsidRPr="003D5AB5" w:rsidR="002215AD">
        <w:rPr>
          <w:szCs w:val="20"/>
        </w:rPr>
        <w:t>county</w:t>
      </w:r>
      <w:r w:rsidRPr="003D5AB5" w:rsidR="00BA00C3">
        <w:rPr>
          <w:szCs w:val="20"/>
        </w:rPr>
        <w:t>-</w:t>
      </w:r>
      <w:r w:rsidRPr="003D5AB5" w:rsidR="002215AD">
        <w:rPr>
          <w:szCs w:val="20"/>
        </w:rPr>
        <w:t>based licenses</w:t>
      </w:r>
      <w:r w:rsidRPr="003D5AB5" w:rsidR="00CE0FCA">
        <w:rPr>
          <w:szCs w:val="20"/>
        </w:rPr>
        <w:t>, and some by larger areas)</w:t>
      </w:r>
      <w:r w:rsidRPr="003D5AB5" w:rsidR="002215AD">
        <w:rPr>
          <w:szCs w:val="20"/>
        </w:rPr>
        <w:t xml:space="preserve"> in the same band, there are significant interference issues with do</w:t>
      </w:r>
      <w:r w:rsidRPr="003D5AB5" w:rsidR="00370D68">
        <w:rPr>
          <w:szCs w:val="20"/>
        </w:rPr>
        <w:t>ing so</w:t>
      </w:r>
      <w:r w:rsidRPr="003D5AB5" w:rsidR="002215AD">
        <w:rPr>
          <w:szCs w:val="20"/>
        </w:rPr>
        <w:t>.</w:t>
      </w:r>
      <w:r w:rsidRPr="003D5AB5" w:rsidR="00370D68">
        <w:rPr>
          <w:szCs w:val="20"/>
        </w:rPr>
        <w:t xml:space="preserve">  </w:t>
      </w:r>
    </w:p>
    <w:p w:rsidR="009F6463" w:rsidRPr="003D5AB5" w:rsidP="009F6463">
      <w:pPr>
        <w:pStyle w:val="ListParagraph"/>
        <w:numPr>
          <w:ilvl w:val="0"/>
          <w:numId w:val="3"/>
        </w:numPr>
        <w:ind w:left="720"/>
        <w:rPr>
          <w:szCs w:val="20"/>
        </w:rPr>
      </w:pPr>
      <w:r w:rsidRPr="003D5AB5">
        <w:rPr>
          <w:szCs w:val="20"/>
          <w:u w:val="single"/>
        </w:rPr>
        <w:t>Rejected Census Tracts in GAA</w:t>
      </w:r>
      <w:r w:rsidRPr="003D5AB5">
        <w:rPr>
          <w:szCs w:val="20"/>
        </w:rPr>
        <w:t xml:space="preserve"> – </w:t>
      </w:r>
      <w:r w:rsidRPr="003D5AB5" w:rsidR="00CF5CEA">
        <w:rPr>
          <w:szCs w:val="20"/>
        </w:rPr>
        <w:t>I</w:t>
      </w:r>
      <w:r w:rsidRPr="003D5AB5">
        <w:rPr>
          <w:szCs w:val="20"/>
        </w:rPr>
        <w:t xml:space="preserve">n an attempt to try to </w:t>
      </w:r>
      <w:r w:rsidRPr="003D5AB5" w:rsidR="00CF5CEA">
        <w:rPr>
          <w:szCs w:val="20"/>
        </w:rPr>
        <w:t xml:space="preserve">permit </w:t>
      </w:r>
      <w:r w:rsidRPr="003D5AB5" w:rsidR="00370D68">
        <w:rPr>
          <w:szCs w:val="20"/>
        </w:rPr>
        <w:t xml:space="preserve">some </w:t>
      </w:r>
      <w:r w:rsidRPr="003D5AB5">
        <w:rPr>
          <w:szCs w:val="20"/>
        </w:rPr>
        <w:t>census tract</w:t>
      </w:r>
      <w:r w:rsidRPr="003D5AB5" w:rsidR="00CF5CEA">
        <w:rPr>
          <w:szCs w:val="20"/>
        </w:rPr>
        <w:t>-sized licenses</w:t>
      </w:r>
      <w:r w:rsidRPr="003D5AB5">
        <w:rPr>
          <w:szCs w:val="20"/>
        </w:rPr>
        <w:t xml:space="preserve">, </w:t>
      </w:r>
      <w:r w:rsidRPr="003D5AB5" w:rsidR="00370D68">
        <w:rPr>
          <w:szCs w:val="20"/>
        </w:rPr>
        <w:t>a proposal</w:t>
      </w:r>
      <w:r w:rsidRPr="003D5AB5">
        <w:rPr>
          <w:szCs w:val="20"/>
        </w:rPr>
        <w:t xml:space="preserve"> was</w:t>
      </w:r>
      <w:r w:rsidRPr="003D5AB5" w:rsidR="00CF5CEA">
        <w:rPr>
          <w:szCs w:val="20"/>
        </w:rPr>
        <w:t xml:space="preserve"> made to convert 20 MHz of GAA spectrum for this purpose.  </w:t>
      </w:r>
      <w:r w:rsidRPr="003D5AB5" w:rsidR="00370D68">
        <w:rPr>
          <w:szCs w:val="20"/>
        </w:rPr>
        <w:t xml:space="preserve">It </w:t>
      </w:r>
      <w:r w:rsidRPr="003D5AB5" w:rsidR="00CE0FCA">
        <w:rPr>
          <w:szCs w:val="20"/>
        </w:rPr>
        <w:t xml:space="preserve">was </w:t>
      </w:r>
      <w:r w:rsidRPr="003D5AB5" w:rsidR="00CF5CEA">
        <w:rPr>
          <w:szCs w:val="20"/>
        </w:rPr>
        <w:t>soundly rejected by the chief proponents of census tracts licenses.</w:t>
      </w:r>
    </w:p>
    <w:p w:rsidR="00B14E54" w:rsidRPr="003D5AB5">
      <w:pPr>
        <w:rPr>
          <w:szCs w:val="20"/>
        </w:rPr>
      </w:pPr>
    </w:p>
    <w:p w:rsidR="009F6463" w:rsidRPr="003D5AB5">
      <w:pPr>
        <w:rPr>
          <w:szCs w:val="20"/>
        </w:rPr>
      </w:pPr>
      <w:r w:rsidRPr="003D5AB5">
        <w:rPr>
          <w:szCs w:val="20"/>
        </w:rPr>
        <w:t>Arriving at a county-based auction was not easy</w:t>
      </w:r>
      <w:r w:rsidRPr="003D5AB5" w:rsidR="00CF5CEA">
        <w:rPr>
          <w:szCs w:val="20"/>
        </w:rPr>
        <w:t>,</w:t>
      </w:r>
      <w:r w:rsidRPr="003D5AB5">
        <w:rPr>
          <w:szCs w:val="20"/>
        </w:rPr>
        <w:t xml:space="preserve"> as many interested parties wanted much larger license sizes and </w:t>
      </w:r>
      <w:r w:rsidRPr="003D5AB5" w:rsidR="00CE0FCA">
        <w:rPr>
          <w:szCs w:val="20"/>
        </w:rPr>
        <w:t>negotiated down from their preferred position</w:t>
      </w:r>
      <w:r w:rsidRPr="003D5AB5">
        <w:rPr>
          <w:szCs w:val="20"/>
        </w:rPr>
        <w:t xml:space="preserve"> twice.  </w:t>
      </w:r>
      <w:r w:rsidRPr="003D5AB5" w:rsidR="00370D68">
        <w:rPr>
          <w:szCs w:val="20"/>
        </w:rPr>
        <w:t>The loudest opponents remain a segment of the wireless ISPs</w:t>
      </w:r>
      <w:r w:rsidRPr="003D5AB5" w:rsidR="00CE0FCA">
        <w:rPr>
          <w:szCs w:val="20"/>
        </w:rPr>
        <w:t xml:space="preserve"> and </w:t>
      </w:r>
      <w:r w:rsidR="0099236B">
        <w:rPr>
          <w:szCs w:val="20"/>
        </w:rPr>
        <w:t xml:space="preserve">providers of Industrial </w:t>
      </w:r>
      <w:r w:rsidRPr="003D5AB5" w:rsidR="00CE0FCA">
        <w:rPr>
          <w:szCs w:val="20"/>
        </w:rPr>
        <w:t>I</w:t>
      </w:r>
      <w:r w:rsidR="0099236B">
        <w:rPr>
          <w:szCs w:val="20"/>
        </w:rPr>
        <w:t>nternet of Things (IIoT) services</w:t>
      </w:r>
      <w:r w:rsidRPr="003D5AB5" w:rsidR="00370D68">
        <w:rPr>
          <w:szCs w:val="20"/>
        </w:rPr>
        <w:t xml:space="preserve">, who were unwilling to compromise.  </w:t>
      </w:r>
      <w:r w:rsidRPr="003D5AB5">
        <w:rPr>
          <w:szCs w:val="20"/>
        </w:rPr>
        <w:t>In the end, the county approach is supported by the representatives of the entire mobile wireless industry, the cable industry, the rural telecommunications industry</w:t>
      </w:r>
      <w:r w:rsidR="00E119E6">
        <w:rPr>
          <w:szCs w:val="20"/>
        </w:rPr>
        <w:t>,</w:t>
      </w:r>
      <w:r w:rsidRPr="003D5AB5">
        <w:rPr>
          <w:szCs w:val="20"/>
        </w:rPr>
        <w:t xml:space="preserve"> and many wireless ISPs.  </w:t>
      </w:r>
      <w:r w:rsidRPr="003D5AB5" w:rsidR="009C7034">
        <w:rPr>
          <w:szCs w:val="20"/>
        </w:rPr>
        <w:t xml:space="preserve">  </w:t>
      </w:r>
    </w:p>
    <w:p w:rsidR="00B14E54" w:rsidRPr="003D5AB5">
      <w:pPr>
        <w:rPr>
          <w:szCs w:val="20"/>
        </w:rPr>
      </w:pPr>
    </w:p>
    <w:p w:rsidR="00B14E54" w:rsidRPr="003D5AB5">
      <w:pPr>
        <w:rPr>
          <w:i/>
          <w:szCs w:val="20"/>
        </w:rPr>
      </w:pPr>
      <w:r w:rsidRPr="003D5AB5">
        <w:rPr>
          <w:i/>
          <w:szCs w:val="20"/>
        </w:rPr>
        <w:t>License Terms</w:t>
      </w:r>
      <w:r w:rsidRPr="003D5AB5" w:rsidR="008700EF">
        <w:rPr>
          <w:i/>
          <w:szCs w:val="20"/>
        </w:rPr>
        <w:t xml:space="preserve"> &amp; Renewability</w:t>
      </w:r>
    </w:p>
    <w:p w:rsidR="00682D37" w:rsidRPr="003D5AB5">
      <w:pPr>
        <w:rPr>
          <w:szCs w:val="20"/>
        </w:rPr>
      </w:pPr>
    </w:p>
    <w:p w:rsidR="00F47ED3" w:rsidRPr="003D5AB5">
      <w:pPr>
        <w:rPr>
          <w:szCs w:val="20"/>
        </w:rPr>
      </w:pPr>
      <w:r w:rsidRPr="003D5AB5">
        <w:rPr>
          <w:szCs w:val="20"/>
        </w:rPr>
        <w:t xml:space="preserve">Current rules </w:t>
      </w:r>
      <w:r w:rsidRPr="003D5AB5" w:rsidR="00BA00C3">
        <w:rPr>
          <w:szCs w:val="20"/>
        </w:rPr>
        <w:t xml:space="preserve">implement </w:t>
      </w:r>
      <w:r w:rsidRPr="003D5AB5">
        <w:rPr>
          <w:szCs w:val="20"/>
        </w:rPr>
        <w:t>s</w:t>
      </w:r>
      <w:r w:rsidRPr="003D5AB5" w:rsidR="00E32763">
        <w:rPr>
          <w:szCs w:val="20"/>
        </w:rPr>
        <w:t xml:space="preserve">hort license terms </w:t>
      </w:r>
      <w:r w:rsidRPr="003D5AB5" w:rsidR="008700EF">
        <w:rPr>
          <w:szCs w:val="20"/>
        </w:rPr>
        <w:t>with no license renewability expectation</w:t>
      </w:r>
      <w:r w:rsidRPr="003D5AB5" w:rsidR="00BA00C3">
        <w:rPr>
          <w:szCs w:val="20"/>
        </w:rPr>
        <w:t>, which</w:t>
      </w:r>
      <w:r w:rsidRPr="003D5AB5" w:rsidR="008700EF">
        <w:rPr>
          <w:szCs w:val="20"/>
        </w:rPr>
        <w:t xml:space="preserve"> </w:t>
      </w:r>
      <w:r w:rsidRPr="003D5AB5">
        <w:rPr>
          <w:szCs w:val="20"/>
        </w:rPr>
        <w:t xml:space="preserve">sharply </w:t>
      </w:r>
      <w:r w:rsidRPr="003D5AB5" w:rsidR="00720679">
        <w:rPr>
          <w:szCs w:val="20"/>
        </w:rPr>
        <w:t>curtails overall CBRS interest because it</w:t>
      </w:r>
      <w:r w:rsidRPr="003D5AB5" w:rsidR="008700EF">
        <w:rPr>
          <w:szCs w:val="20"/>
        </w:rPr>
        <w:t xml:space="preserve"> rais</w:t>
      </w:r>
      <w:r w:rsidRPr="003D5AB5" w:rsidR="00720679">
        <w:rPr>
          <w:szCs w:val="20"/>
        </w:rPr>
        <w:t>es</w:t>
      </w:r>
      <w:r w:rsidRPr="003D5AB5" w:rsidR="008700EF">
        <w:rPr>
          <w:szCs w:val="20"/>
        </w:rPr>
        <w:t xml:space="preserve"> </w:t>
      </w:r>
      <w:r w:rsidRPr="003D5AB5">
        <w:rPr>
          <w:szCs w:val="20"/>
        </w:rPr>
        <w:t>providers’</w:t>
      </w:r>
      <w:r w:rsidRPr="003D5AB5" w:rsidR="008700EF">
        <w:rPr>
          <w:szCs w:val="20"/>
        </w:rPr>
        <w:t xml:space="preserve"> cost for capital, limit</w:t>
      </w:r>
      <w:r w:rsidRPr="003D5AB5">
        <w:rPr>
          <w:szCs w:val="20"/>
        </w:rPr>
        <w:t>s</w:t>
      </w:r>
      <w:r w:rsidRPr="003D5AB5" w:rsidR="008700EF">
        <w:rPr>
          <w:szCs w:val="20"/>
        </w:rPr>
        <w:t xml:space="preserve"> the opportunity to generate a return on investment, and </w:t>
      </w:r>
      <w:r w:rsidRPr="003D5AB5" w:rsidR="00720679">
        <w:rPr>
          <w:szCs w:val="20"/>
        </w:rPr>
        <w:t>curbs</w:t>
      </w:r>
      <w:r w:rsidRPr="003D5AB5" w:rsidR="008700EF">
        <w:rPr>
          <w:szCs w:val="20"/>
        </w:rPr>
        <w:t xml:space="preserve"> the ability and willingness of </w:t>
      </w:r>
      <w:r w:rsidRPr="003D5AB5">
        <w:rPr>
          <w:szCs w:val="20"/>
        </w:rPr>
        <w:t>investors</w:t>
      </w:r>
      <w:r w:rsidRPr="003D5AB5" w:rsidR="008700EF">
        <w:rPr>
          <w:szCs w:val="20"/>
        </w:rPr>
        <w:t xml:space="preserve"> to </w:t>
      </w:r>
      <w:r w:rsidRPr="003D5AB5">
        <w:rPr>
          <w:szCs w:val="20"/>
        </w:rPr>
        <w:t xml:space="preserve">fund </w:t>
      </w:r>
      <w:r w:rsidRPr="003D5AB5" w:rsidR="008700EF">
        <w:rPr>
          <w:szCs w:val="20"/>
        </w:rPr>
        <w:t xml:space="preserve">longer-term projects.  It’s also directly opposite of </w:t>
      </w:r>
      <w:r w:rsidR="00E119E6">
        <w:rPr>
          <w:szCs w:val="20"/>
        </w:rPr>
        <w:t xml:space="preserve">the </w:t>
      </w:r>
      <w:r w:rsidRPr="003D5AB5" w:rsidR="008700EF">
        <w:rPr>
          <w:szCs w:val="20"/>
        </w:rPr>
        <w:t xml:space="preserve">U.S. position advocated overseas.  </w:t>
      </w:r>
      <w:r w:rsidRPr="003D5AB5">
        <w:rPr>
          <w:szCs w:val="20"/>
        </w:rPr>
        <w:t>T</w:t>
      </w:r>
      <w:r w:rsidRPr="003D5AB5" w:rsidR="00974B74">
        <w:rPr>
          <w:szCs w:val="20"/>
        </w:rPr>
        <w:t>he previous Commission acknowledged as much when it switched the CBRS license terms to three years with a one-time extension.  Moreover, the Commission maintains ten</w:t>
      </w:r>
      <w:r w:rsidRPr="003D5AB5" w:rsidR="00BA00C3">
        <w:rPr>
          <w:szCs w:val="20"/>
        </w:rPr>
        <w:t>-</w:t>
      </w:r>
      <w:r w:rsidRPr="003D5AB5" w:rsidR="00974B74">
        <w:rPr>
          <w:szCs w:val="20"/>
        </w:rPr>
        <w:t>year license terms</w:t>
      </w:r>
      <w:r w:rsidRPr="003D5AB5" w:rsidR="00BA00C3">
        <w:rPr>
          <w:szCs w:val="20"/>
        </w:rPr>
        <w:t xml:space="preserve"> (or longer)</w:t>
      </w:r>
      <w:r w:rsidRPr="003D5AB5" w:rsidR="00974B74">
        <w:rPr>
          <w:szCs w:val="20"/>
        </w:rPr>
        <w:t xml:space="preserve"> </w:t>
      </w:r>
      <w:r w:rsidRPr="003D5AB5">
        <w:rPr>
          <w:szCs w:val="20"/>
        </w:rPr>
        <w:t xml:space="preserve">with renewability </w:t>
      </w:r>
      <w:r w:rsidRPr="003D5AB5" w:rsidR="00974B74">
        <w:rPr>
          <w:szCs w:val="20"/>
        </w:rPr>
        <w:t xml:space="preserve">for almost every </w:t>
      </w:r>
      <w:r w:rsidRPr="003D5AB5">
        <w:rPr>
          <w:szCs w:val="20"/>
        </w:rPr>
        <w:t>o</w:t>
      </w:r>
      <w:r w:rsidRPr="003D5AB5" w:rsidR="00974B74">
        <w:rPr>
          <w:szCs w:val="20"/>
        </w:rPr>
        <w:t xml:space="preserve">ther similar </w:t>
      </w:r>
      <w:r w:rsidRPr="003D5AB5" w:rsidR="005273C1">
        <w:rPr>
          <w:szCs w:val="20"/>
        </w:rPr>
        <w:t xml:space="preserve">wireless </w:t>
      </w:r>
      <w:r w:rsidRPr="003D5AB5" w:rsidR="00974B74">
        <w:rPr>
          <w:szCs w:val="20"/>
        </w:rPr>
        <w:t>service</w:t>
      </w:r>
      <w:r w:rsidRPr="003D5AB5" w:rsidR="005273C1">
        <w:rPr>
          <w:szCs w:val="20"/>
        </w:rPr>
        <w:t xml:space="preserve">.  Thus, the modified rules </w:t>
      </w:r>
      <w:r w:rsidRPr="003D5AB5" w:rsidR="00940214">
        <w:rPr>
          <w:szCs w:val="20"/>
        </w:rPr>
        <w:t xml:space="preserve">reaffirm the Commission’s long-standing practice to provide </w:t>
      </w:r>
      <w:r w:rsidRPr="003D5AB5" w:rsidR="00A62944">
        <w:rPr>
          <w:szCs w:val="20"/>
        </w:rPr>
        <w:t xml:space="preserve">longer license terms with </w:t>
      </w:r>
      <w:r w:rsidRPr="003D5AB5" w:rsidR="00940214">
        <w:rPr>
          <w:szCs w:val="20"/>
        </w:rPr>
        <w:t xml:space="preserve">an expectation of renewal for providers in compliance with its rules.  </w:t>
      </w:r>
    </w:p>
    <w:p w:rsidR="00F47ED3" w:rsidRPr="003D5AB5">
      <w:pPr>
        <w:rPr>
          <w:szCs w:val="20"/>
        </w:rPr>
      </w:pPr>
    </w:p>
    <w:p w:rsidR="006C5338" w:rsidRPr="0032436A">
      <w:r w:rsidRPr="0032436A">
        <w:rPr>
          <w:i/>
        </w:rPr>
        <w:t>PAL Availability</w:t>
      </w:r>
      <w:r w:rsidRPr="0032436A">
        <w:t xml:space="preserve"> </w:t>
      </w:r>
      <w:r w:rsidRPr="0032436A" w:rsidR="00940214">
        <w:t xml:space="preserve">  </w:t>
      </w:r>
    </w:p>
    <w:p w:rsidR="006C5338" w:rsidRPr="0032436A"/>
    <w:p w:rsidR="002902B8" w:rsidRPr="0032436A">
      <w:r w:rsidRPr="0032436A">
        <w:t xml:space="preserve">The Commission’s existing rules preclude PAL assignment if only one participant seeks to obtain them within a market and, if demand for PALs is less than eight in a geographic area, the Commission will auction the number of PALs sought minus one.  This was highly unpopular with all commenters, so we are returning to our normal auction rules where all seven PALs will be available in all counties. </w:t>
      </w:r>
    </w:p>
    <w:p w:rsidR="00BB3EB2" w:rsidRPr="0032436A" w:rsidP="009064D1"/>
    <w:p w:rsidR="00BB3EB2" w:rsidRPr="0032436A" w:rsidP="00BB3EB2">
      <w:pPr>
        <w:rPr>
          <w:i/>
        </w:rPr>
      </w:pPr>
      <w:r w:rsidRPr="0032436A">
        <w:rPr>
          <w:i/>
        </w:rPr>
        <w:t>Power Limits</w:t>
      </w:r>
    </w:p>
    <w:p w:rsidR="0032436A" w:rsidRPr="0032436A" w:rsidP="00BB3EB2">
      <w:pPr>
        <w:rPr>
          <w:i/>
        </w:rPr>
      </w:pPr>
    </w:p>
    <w:p w:rsidR="0032436A" w:rsidRPr="0032436A" w:rsidP="00490B74">
      <w:r w:rsidRPr="0032436A">
        <w:t>The CBRS technical rules effectively necessitate a reduction in power when aggregating channels to accommodate wider bandwidths.  In working with interested parties, the proposed change modifies the rules to accommodate wider bandwidths for 5G technologies, while maintaining the existing interference protections for other services operating outside the CBRS band.</w:t>
      </w:r>
    </w:p>
    <w:p w:rsidR="00BB3EB2" w:rsidRPr="0032436A" w:rsidP="009064D1"/>
    <w:p w:rsidR="00E67A90" w:rsidRPr="0032436A" w:rsidP="00E67A90">
      <w:pPr>
        <w:rPr>
          <w:i/>
        </w:rPr>
      </w:pPr>
      <w:r w:rsidRPr="0032436A">
        <w:rPr>
          <w:i/>
        </w:rPr>
        <w:t>Database Information</w:t>
      </w:r>
    </w:p>
    <w:p w:rsidR="00E67A90" w:rsidRPr="0032436A" w:rsidP="00E67A90">
      <w:pPr>
        <w:rPr>
          <w:i/>
        </w:rPr>
      </w:pPr>
    </w:p>
    <w:p w:rsidR="00B14E54" w:rsidRPr="0032436A">
      <w:r w:rsidRPr="0032436A">
        <w:t xml:space="preserve">Currently, </w:t>
      </w:r>
      <w:r w:rsidRPr="0032436A" w:rsidR="00E67A90">
        <w:t xml:space="preserve">SAS Administrators are required to make publicly available detailed information about the location and characteristics of </w:t>
      </w:r>
      <w:r w:rsidRPr="0032436A" w:rsidR="007A1D96">
        <w:t>facilities,</w:t>
      </w:r>
      <w:r w:rsidRPr="0032436A" w:rsidR="00E67A90">
        <w:t xml:space="preserve"> but legitimate </w:t>
      </w:r>
      <w:r w:rsidRPr="0032436A">
        <w:t xml:space="preserve">concerns were raised regarding </w:t>
      </w:r>
      <w:r w:rsidRPr="0032436A" w:rsidR="00E67A90">
        <w:t>competiti</w:t>
      </w:r>
      <w:r w:rsidRPr="0032436A">
        <w:t>ve</w:t>
      </w:r>
      <w:r w:rsidRPr="0032436A" w:rsidR="001B6F15">
        <w:t>ly</w:t>
      </w:r>
      <w:r w:rsidRPr="0032436A" w:rsidR="00E67A90">
        <w:t xml:space="preserve"> </w:t>
      </w:r>
      <w:r w:rsidRPr="0032436A">
        <w:t xml:space="preserve">sensitive information </w:t>
      </w:r>
      <w:r w:rsidRPr="0032436A" w:rsidR="00E67A90">
        <w:t xml:space="preserve">and </w:t>
      </w:r>
      <w:r w:rsidRPr="0032436A">
        <w:t xml:space="preserve">overall </w:t>
      </w:r>
      <w:r w:rsidRPr="0032436A" w:rsidR="00E67A90">
        <w:t>security</w:t>
      </w:r>
      <w:r w:rsidRPr="0032436A">
        <w:t>.</w:t>
      </w:r>
      <w:r w:rsidRPr="0032436A" w:rsidR="00E67A90">
        <w:t xml:space="preserve">  Instead, the item proposes that SAS Administrators make aggregated spectrum usage data</w:t>
      </w:r>
      <w:r w:rsidRPr="0032436A">
        <w:t xml:space="preserve"> available</w:t>
      </w:r>
      <w:r w:rsidRPr="0032436A" w:rsidR="00E67A90">
        <w:t xml:space="preserve">, which will enable potential </w:t>
      </w:r>
      <w:r w:rsidRPr="0032436A">
        <w:t>CBRS providers</w:t>
      </w:r>
      <w:r w:rsidRPr="0032436A" w:rsidR="00E67A90">
        <w:t xml:space="preserve"> to make investment and deployment decisions.</w:t>
      </w:r>
    </w:p>
    <w:p w:rsidR="00F110DF" w:rsidRPr="0032436A"/>
    <w:p w:rsidR="00F110DF">
      <w:pPr>
        <w:rPr>
          <w:sz w:val="24"/>
        </w:rPr>
      </w:pPr>
    </w:p>
    <w:sectPr w:rsidSect="007A1D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D01A9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1A822DE6"/>
    <w:multiLevelType w:val="hybridMultilevel"/>
    <w:tmpl w:val="2C60EC2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8271533"/>
    <w:multiLevelType w:val="hybridMultilevel"/>
    <w:tmpl w:val="E1424758"/>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4E54"/>
    <w:pPr>
      <w:tabs>
        <w:tab w:val="center" w:pos="4680"/>
        <w:tab w:val="right" w:pos="9360"/>
      </w:tabs>
    </w:pPr>
  </w:style>
  <w:style w:type="character" w:customStyle="1" w:styleId="HeaderChar">
    <w:name w:val="Header Char"/>
    <w:basedOn w:val="DefaultParagraphFont"/>
    <w:link w:val="Header"/>
    <w:uiPriority w:val="99"/>
    <w:rsid w:val="00B14E54"/>
  </w:style>
  <w:style w:type="paragraph" w:styleId="Footer">
    <w:name w:val="footer"/>
    <w:basedOn w:val="Normal"/>
    <w:link w:val="FooterChar"/>
    <w:uiPriority w:val="99"/>
    <w:unhideWhenUsed/>
    <w:rsid w:val="00B14E54"/>
    <w:pPr>
      <w:tabs>
        <w:tab w:val="center" w:pos="4680"/>
        <w:tab w:val="right" w:pos="9360"/>
      </w:tabs>
    </w:pPr>
  </w:style>
  <w:style w:type="character" w:customStyle="1" w:styleId="FooterChar">
    <w:name w:val="Footer Char"/>
    <w:basedOn w:val="DefaultParagraphFont"/>
    <w:link w:val="Footer"/>
    <w:uiPriority w:val="99"/>
    <w:rsid w:val="00B14E54"/>
  </w:style>
  <w:style w:type="paragraph" w:styleId="ListParagraph">
    <w:name w:val="List Paragraph"/>
    <w:basedOn w:val="Normal"/>
    <w:uiPriority w:val="34"/>
    <w:qFormat/>
    <w:rsid w:val="009064D1"/>
    <w:pPr>
      <w:ind w:left="720"/>
      <w:contextualSpacing/>
    </w:pPr>
    <w:rPr>
      <w:rFonts w:eastAsiaTheme="minorEastAsia"/>
    </w:rPr>
  </w:style>
  <w:style w:type="paragraph" w:styleId="BalloonText">
    <w:name w:val="Balloon Text"/>
    <w:basedOn w:val="Normal"/>
    <w:link w:val="BalloonTextChar"/>
    <w:uiPriority w:val="99"/>
    <w:semiHidden/>
    <w:unhideWhenUsed/>
    <w:rsid w:val="009C70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034"/>
    <w:rPr>
      <w:rFonts w:ascii="Segoe UI" w:hAnsi="Segoe UI" w:cs="Segoe UI"/>
      <w:sz w:val="18"/>
      <w:szCs w:val="18"/>
    </w:rPr>
  </w:style>
  <w:style w:type="character" w:styleId="CommentReference">
    <w:name w:val="annotation reference"/>
    <w:basedOn w:val="DefaultParagraphFont"/>
    <w:uiPriority w:val="99"/>
    <w:semiHidden/>
    <w:unhideWhenUsed/>
    <w:rsid w:val="00E119E6"/>
    <w:rPr>
      <w:sz w:val="16"/>
      <w:szCs w:val="16"/>
    </w:rPr>
  </w:style>
  <w:style w:type="paragraph" w:styleId="CommentText">
    <w:name w:val="annotation text"/>
    <w:basedOn w:val="Normal"/>
    <w:link w:val="CommentTextChar"/>
    <w:uiPriority w:val="99"/>
    <w:semiHidden/>
    <w:unhideWhenUsed/>
    <w:rsid w:val="00E119E6"/>
    <w:rPr>
      <w:sz w:val="20"/>
      <w:szCs w:val="20"/>
    </w:rPr>
  </w:style>
  <w:style w:type="character" w:customStyle="1" w:styleId="CommentTextChar">
    <w:name w:val="Comment Text Char"/>
    <w:basedOn w:val="DefaultParagraphFont"/>
    <w:link w:val="CommentText"/>
    <w:uiPriority w:val="99"/>
    <w:semiHidden/>
    <w:rsid w:val="00E119E6"/>
    <w:rPr>
      <w:sz w:val="20"/>
      <w:szCs w:val="20"/>
    </w:rPr>
  </w:style>
  <w:style w:type="paragraph" w:styleId="CommentSubject">
    <w:name w:val="annotation subject"/>
    <w:basedOn w:val="CommentText"/>
    <w:next w:val="CommentText"/>
    <w:link w:val="CommentSubjectChar"/>
    <w:uiPriority w:val="99"/>
    <w:semiHidden/>
    <w:unhideWhenUsed/>
    <w:rsid w:val="00E119E6"/>
    <w:rPr>
      <w:b/>
      <w:bCs/>
    </w:rPr>
  </w:style>
  <w:style w:type="character" w:customStyle="1" w:styleId="CommentSubjectChar">
    <w:name w:val="Comment Subject Char"/>
    <w:basedOn w:val="CommentTextChar"/>
    <w:link w:val="CommentSubject"/>
    <w:uiPriority w:val="99"/>
    <w:semiHidden/>
    <w:rsid w:val="00E119E6"/>
    <w:rPr>
      <w:b/>
      <w:bCs/>
      <w:sz w:val="20"/>
      <w:szCs w:val="20"/>
    </w:rPr>
  </w:style>
  <w:style w:type="paragraph" w:styleId="Revision">
    <w:name w:val="Revision"/>
    <w:hidden/>
    <w:uiPriority w:val="99"/>
    <w:semiHidden/>
    <w:rsid w:val="00E119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