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E34E3F" w:rsidRPr="00B47F70" w:rsidP="00A41840">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FOR </w:t>
            </w:r>
            <w:r w:rsidR="002827C0">
              <w:rPr>
                <w:b/>
                <w:bCs/>
                <w:caps/>
              </w:rPr>
              <w:t>October</w:t>
            </w:r>
            <w:r w:rsidRPr="00B47F70" w:rsidR="00A41840">
              <w:rPr>
                <w:b/>
                <w:bCs/>
                <w:caps/>
              </w:rPr>
              <w:t xml:space="preserve"> OPEN MEETING</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RPr="00A41840" w:rsidP="00A41840">
            <w:pPr>
              <w:tabs>
                <w:tab w:val="left" w:pos="8640"/>
              </w:tabs>
              <w:rPr>
                <w:sz w:val="22"/>
                <w:szCs w:val="22"/>
              </w:rPr>
            </w:pPr>
            <w:r w:rsidRPr="008A3940">
              <w:rPr>
                <w:sz w:val="22"/>
                <w:szCs w:val="22"/>
              </w:rPr>
              <w:t xml:space="preserve">WASHINGTON, </w:t>
            </w:r>
            <w:r w:rsidR="002827C0">
              <w:rPr>
                <w:sz w:val="22"/>
                <w:szCs w:val="22"/>
              </w:rPr>
              <w:t>October 2</w:t>
            </w:r>
            <w:r w:rsidR="00D148D6">
              <w:rPr>
                <w:sz w:val="22"/>
                <w:szCs w:val="22"/>
              </w:rPr>
              <w:t>, 201</w:t>
            </w:r>
            <w:r w:rsidR="00323539">
              <w:rPr>
                <w:sz w:val="22"/>
                <w:szCs w:val="22"/>
              </w:rPr>
              <w:t>8</w:t>
            </w:r>
            <w:r w:rsidR="00641CD8">
              <w:rPr>
                <w:sz w:val="22"/>
                <w:szCs w:val="22"/>
              </w:rPr>
              <w:t>—</w:t>
            </w:r>
            <w:r w:rsidRPr="00A41840">
              <w:rPr>
                <w:sz w:val="22"/>
                <w:szCs w:val="22"/>
              </w:rPr>
              <w:t xml:space="preserve">Federal Communications Commission Chairman </w:t>
            </w:r>
            <w:r w:rsidR="00A27E96">
              <w:rPr>
                <w:sz w:val="22"/>
                <w:szCs w:val="22"/>
              </w:rPr>
              <w:t xml:space="preserve">Ajit Pai </w:t>
            </w:r>
            <w:r w:rsidRPr="00A41840">
              <w:rPr>
                <w:sz w:val="22"/>
                <w:szCs w:val="22"/>
              </w:rPr>
              <w:t>announced that the following items are tentatively on the agenda f</w:t>
            </w:r>
            <w:r w:rsidRPr="002827C0">
              <w:rPr>
                <w:sz w:val="22"/>
                <w:szCs w:val="22"/>
              </w:rPr>
              <w:t xml:space="preserve">or the </w:t>
            </w:r>
            <w:r w:rsidRPr="002827C0" w:rsidR="002827C0">
              <w:rPr>
                <w:sz w:val="22"/>
                <w:szCs w:val="22"/>
              </w:rPr>
              <w:t>October</w:t>
            </w:r>
            <w:r w:rsidRPr="002827C0">
              <w:rPr>
                <w:sz w:val="22"/>
                <w:szCs w:val="22"/>
              </w:rPr>
              <w:t xml:space="preserve"> Open Commission Meeting scheduled for </w:t>
            </w:r>
            <w:r w:rsidRPr="002827C0" w:rsidR="002827C0">
              <w:rPr>
                <w:sz w:val="22"/>
                <w:szCs w:val="22"/>
              </w:rPr>
              <w:t>Tuesday, October 23</w:t>
            </w:r>
            <w:r w:rsidRPr="002827C0" w:rsidR="00D148D6">
              <w:rPr>
                <w:sz w:val="22"/>
                <w:szCs w:val="22"/>
              </w:rPr>
              <w:t>, 201</w:t>
            </w:r>
            <w:r w:rsidRPr="002827C0" w:rsidR="00323539">
              <w:rPr>
                <w:sz w:val="22"/>
                <w:szCs w:val="22"/>
              </w:rPr>
              <w:t>8</w:t>
            </w:r>
            <w:r w:rsidRPr="002827C0">
              <w:rPr>
                <w:sz w:val="22"/>
                <w:szCs w:val="22"/>
              </w:rPr>
              <w:t>:</w:t>
            </w:r>
          </w:p>
          <w:p w:rsidR="00A41840" w:rsidP="00A41840">
            <w:pPr>
              <w:tabs>
                <w:tab w:val="left" w:pos="8640"/>
              </w:tabs>
              <w:rPr>
                <w:sz w:val="22"/>
                <w:szCs w:val="22"/>
              </w:rPr>
            </w:pPr>
          </w:p>
          <w:p w:rsidR="00D5058F" w:rsidRPr="00D5058F" w:rsidP="00D5058F">
            <w:pPr>
              <w:tabs>
                <w:tab w:val="left" w:pos="8640"/>
              </w:tabs>
              <w:rPr>
                <w:sz w:val="22"/>
                <w:szCs w:val="22"/>
              </w:rPr>
            </w:pPr>
            <w:r w:rsidRPr="00D5058F">
              <w:rPr>
                <w:b/>
                <w:bCs/>
                <w:sz w:val="22"/>
                <w:szCs w:val="22"/>
              </w:rPr>
              <w:t>Unlicensed Use of the 6 GHz Band</w:t>
            </w:r>
            <w:bookmarkStart w:id="0" w:name="_Hlk526174869"/>
            <w:r w:rsidRPr="00D5058F">
              <w:rPr>
                <w:sz w:val="22"/>
                <w:szCs w:val="22"/>
              </w:rPr>
              <w:t> </w:t>
            </w:r>
            <w:r>
              <w:rPr>
                <w:sz w:val="22"/>
                <w:szCs w:val="22"/>
              </w:rPr>
              <w:t>–</w:t>
            </w:r>
            <w:r w:rsidRPr="00D5058F">
              <w:rPr>
                <w:sz w:val="22"/>
                <w:szCs w:val="22"/>
              </w:rPr>
              <w:t> </w:t>
            </w:r>
            <w:bookmarkEnd w:id="0"/>
            <w:r w:rsidRPr="00D5058F">
              <w:rPr>
                <w:sz w:val="22"/>
                <w:szCs w:val="22"/>
              </w:rPr>
              <w:t xml:space="preserve">The Commission will consider a Notice of Proposed Rulemaking that promotes the use of mid-band spectrum for broadband by proposing to allow new unlicensed uses of the 5.925-7.125 GHz band while protecting existing and future licensed operations. </w:t>
            </w:r>
            <w:r>
              <w:rPr>
                <w:sz w:val="22"/>
                <w:szCs w:val="22"/>
              </w:rPr>
              <w:t xml:space="preserve"> </w:t>
            </w:r>
            <w:r w:rsidRPr="00D5058F">
              <w:rPr>
                <w:sz w:val="22"/>
                <w:szCs w:val="22"/>
              </w:rPr>
              <w:t>(ET Docket No. 18-295)</w:t>
            </w:r>
          </w:p>
          <w:p w:rsidR="002827C0" w:rsidP="002827C0">
            <w:pPr>
              <w:tabs>
                <w:tab w:val="left" w:pos="8640"/>
              </w:tabs>
              <w:rPr>
                <w:sz w:val="22"/>
                <w:szCs w:val="22"/>
              </w:rPr>
            </w:pPr>
          </w:p>
          <w:p w:rsidR="0098184F" w:rsidRPr="0098184F" w:rsidP="0098184F">
            <w:pPr>
              <w:tabs>
                <w:tab w:val="left" w:pos="8640"/>
              </w:tabs>
              <w:rPr>
                <w:sz w:val="22"/>
                <w:szCs w:val="22"/>
              </w:rPr>
            </w:pPr>
            <w:r w:rsidRPr="0098184F">
              <w:rPr>
                <w:b/>
                <w:bCs/>
                <w:sz w:val="22"/>
                <w:szCs w:val="22"/>
              </w:rPr>
              <w:t>Promoting Investment in the 3550-3700 MHz Band – </w:t>
            </w:r>
            <w:r w:rsidRPr="0098184F">
              <w:rPr>
                <w:sz w:val="22"/>
                <w:szCs w:val="22"/>
              </w:rPr>
              <w:t>The Commission will consider a Report and Order that would make limited changes to the Citizens Broadband Radio Service in 3.5 GHz band to increase incentives for innovation and investment, including for mobile 5G services.  (GN Docket No. 17-258)</w:t>
            </w:r>
          </w:p>
          <w:p w:rsidR="0098184F" w:rsidRPr="002827C0" w:rsidP="002827C0">
            <w:pPr>
              <w:tabs>
                <w:tab w:val="left" w:pos="8640"/>
              </w:tabs>
              <w:rPr>
                <w:sz w:val="22"/>
                <w:szCs w:val="22"/>
              </w:rPr>
            </w:pPr>
          </w:p>
          <w:p w:rsidR="005246EB" w:rsidRPr="005246EB" w:rsidP="005246EB">
            <w:pPr>
              <w:tabs>
                <w:tab w:val="left" w:pos="8640"/>
              </w:tabs>
              <w:rPr>
                <w:sz w:val="22"/>
                <w:szCs w:val="22"/>
              </w:rPr>
            </w:pPr>
            <w:r w:rsidRPr="005246EB">
              <w:rPr>
                <w:b/>
                <w:bCs/>
                <w:sz w:val="22"/>
                <w:szCs w:val="22"/>
              </w:rPr>
              <w:t>Revitalizing the 800 MHz Band</w:t>
            </w:r>
            <w:r w:rsidRPr="005246EB">
              <w:rPr>
                <w:sz w:val="22"/>
                <w:szCs w:val="22"/>
              </w:rPr>
              <w:t> – The Commission will consider a Report and Order and Order opening up new channels in the 800 MHz Private Land Mobile Radio (PLMR) band, eliminating outdated rules, and reducing administrative burdens on PLMR licensees.  (WP Docket Nos. 15-32, 16-261)</w:t>
            </w:r>
          </w:p>
          <w:p w:rsidR="002827C0" w:rsidP="00A41840">
            <w:pPr>
              <w:tabs>
                <w:tab w:val="left" w:pos="8640"/>
              </w:tabs>
              <w:rPr>
                <w:sz w:val="22"/>
                <w:szCs w:val="22"/>
              </w:rPr>
            </w:pPr>
          </w:p>
          <w:p w:rsidR="002827C0" w:rsidRPr="002827C0" w:rsidP="002827C0">
            <w:pPr>
              <w:tabs>
                <w:tab w:val="left" w:pos="8640"/>
              </w:tabs>
              <w:rPr>
                <w:sz w:val="22"/>
                <w:szCs w:val="22"/>
              </w:rPr>
            </w:pPr>
            <w:bookmarkStart w:id="1" w:name="_Hlk526153495"/>
            <w:r w:rsidRPr="002827C0">
              <w:rPr>
                <w:b/>
                <w:sz w:val="22"/>
                <w:szCs w:val="22"/>
              </w:rPr>
              <w:t xml:space="preserve">Cable Rate Regulation </w:t>
            </w:r>
            <w:r>
              <w:rPr>
                <w:sz w:val="22"/>
                <w:szCs w:val="22"/>
              </w:rPr>
              <w:t xml:space="preserve">– </w:t>
            </w:r>
            <w:r w:rsidRPr="002827C0">
              <w:rPr>
                <w:sz w:val="22"/>
                <w:szCs w:val="22"/>
              </w:rPr>
              <w:t xml:space="preserve">The Commission will consider a Further Notice of Proposed Rulemaking and Report and Order to </w:t>
            </w:r>
            <w:r w:rsidR="00610D21">
              <w:rPr>
                <w:sz w:val="22"/>
                <w:szCs w:val="22"/>
              </w:rPr>
              <w:t>modernize</w:t>
            </w:r>
            <w:bookmarkStart w:id="2" w:name="_GoBack"/>
            <w:bookmarkEnd w:id="2"/>
            <w:r w:rsidRPr="002827C0">
              <w:rPr>
                <w:sz w:val="22"/>
                <w:szCs w:val="22"/>
              </w:rPr>
              <w:t xml:space="preserve"> its cable television rate regulations and update or eliminate outdated rules. </w:t>
            </w:r>
            <w:r>
              <w:rPr>
                <w:sz w:val="22"/>
                <w:szCs w:val="22"/>
              </w:rPr>
              <w:t xml:space="preserve"> (</w:t>
            </w:r>
            <w:r w:rsidRPr="002827C0">
              <w:rPr>
                <w:sz w:val="22"/>
                <w:szCs w:val="22"/>
              </w:rPr>
              <w:t>MB Docket No</w:t>
            </w:r>
            <w:r w:rsidR="004D1025">
              <w:rPr>
                <w:sz w:val="22"/>
                <w:szCs w:val="22"/>
              </w:rPr>
              <w:t>s</w:t>
            </w:r>
            <w:r w:rsidRPr="002827C0">
              <w:rPr>
                <w:sz w:val="22"/>
                <w:szCs w:val="22"/>
              </w:rPr>
              <w:t>. 02-144</w:t>
            </w:r>
            <w:r>
              <w:rPr>
                <w:sz w:val="22"/>
                <w:szCs w:val="22"/>
              </w:rPr>
              <w:t xml:space="preserve">, </w:t>
            </w:r>
            <w:r w:rsidRPr="002827C0">
              <w:rPr>
                <w:sz w:val="22"/>
                <w:szCs w:val="22"/>
              </w:rPr>
              <w:t>17-105; MM Docket No</w:t>
            </w:r>
            <w:r w:rsidR="004D1025">
              <w:rPr>
                <w:sz w:val="22"/>
                <w:szCs w:val="22"/>
              </w:rPr>
              <w:t>s</w:t>
            </w:r>
            <w:r w:rsidRPr="002827C0">
              <w:rPr>
                <w:sz w:val="22"/>
                <w:szCs w:val="22"/>
              </w:rPr>
              <w:t>. 92-266</w:t>
            </w:r>
            <w:r>
              <w:rPr>
                <w:sz w:val="22"/>
                <w:szCs w:val="22"/>
              </w:rPr>
              <w:t>,</w:t>
            </w:r>
            <w:r w:rsidRPr="002827C0">
              <w:rPr>
                <w:sz w:val="22"/>
                <w:szCs w:val="22"/>
              </w:rPr>
              <w:t xml:space="preserve"> 93-215; CS Docket No</w:t>
            </w:r>
            <w:r w:rsidR="004D1025">
              <w:rPr>
                <w:sz w:val="22"/>
                <w:szCs w:val="22"/>
              </w:rPr>
              <w:t>s</w:t>
            </w:r>
            <w:r w:rsidRPr="002827C0">
              <w:rPr>
                <w:sz w:val="22"/>
                <w:szCs w:val="22"/>
              </w:rPr>
              <w:t>. 94-28</w:t>
            </w:r>
            <w:r>
              <w:rPr>
                <w:sz w:val="22"/>
                <w:szCs w:val="22"/>
              </w:rPr>
              <w:t>,</w:t>
            </w:r>
            <w:r w:rsidRPr="002827C0">
              <w:rPr>
                <w:sz w:val="22"/>
                <w:szCs w:val="22"/>
              </w:rPr>
              <w:t xml:space="preserve"> 96-157</w:t>
            </w:r>
            <w:r>
              <w:rPr>
                <w:sz w:val="22"/>
                <w:szCs w:val="22"/>
              </w:rPr>
              <w:t>)</w:t>
            </w:r>
          </w:p>
          <w:p w:rsidR="002827C0" w:rsidRPr="002827C0" w:rsidP="002827C0">
            <w:pPr>
              <w:tabs>
                <w:tab w:val="left" w:pos="8640"/>
              </w:tabs>
              <w:rPr>
                <w:sz w:val="22"/>
                <w:szCs w:val="22"/>
              </w:rPr>
            </w:pPr>
          </w:p>
          <w:p w:rsidR="002827C0" w:rsidP="002827C0">
            <w:pPr>
              <w:tabs>
                <w:tab w:val="left" w:pos="8640"/>
              </w:tabs>
              <w:rPr>
                <w:sz w:val="22"/>
                <w:szCs w:val="22"/>
              </w:rPr>
            </w:pPr>
            <w:r w:rsidRPr="002827C0">
              <w:rPr>
                <w:b/>
                <w:sz w:val="22"/>
                <w:szCs w:val="22"/>
              </w:rPr>
              <w:t>Paper Filing of Contracts</w:t>
            </w:r>
            <w:r>
              <w:rPr>
                <w:b/>
                <w:sz w:val="22"/>
                <w:szCs w:val="22"/>
              </w:rPr>
              <w:t xml:space="preserve"> </w:t>
            </w:r>
            <w:r>
              <w:rPr>
                <w:sz w:val="22"/>
                <w:szCs w:val="22"/>
              </w:rPr>
              <w:t xml:space="preserve">– </w:t>
            </w:r>
            <w:r w:rsidRPr="002827C0">
              <w:rPr>
                <w:sz w:val="22"/>
                <w:szCs w:val="22"/>
              </w:rPr>
              <w:t>The Commission will consider a Report and Order eliminating the requirement that broadcast stations routinely file paper copies of contracts and other documents with the FCC.</w:t>
            </w:r>
            <w:r>
              <w:rPr>
                <w:sz w:val="22"/>
                <w:szCs w:val="22"/>
              </w:rPr>
              <w:t xml:space="preserve">  </w:t>
            </w:r>
            <w:r w:rsidRPr="002827C0">
              <w:rPr>
                <w:sz w:val="22"/>
                <w:szCs w:val="22"/>
              </w:rPr>
              <w:t>(MB Docket No</w:t>
            </w:r>
            <w:r w:rsidR="004D1025">
              <w:rPr>
                <w:sz w:val="22"/>
                <w:szCs w:val="22"/>
              </w:rPr>
              <w:t>s</w:t>
            </w:r>
            <w:r w:rsidRPr="002827C0">
              <w:rPr>
                <w:sz w:val="22"/>
                <w:szCs w:val="22"/>
              </w:rPr>
              <w:t>. 18-4</w:t>
            </w:r>
            <w:r>
              <w:rPr>
                <w:sz w:val="22"/>
                <w:szCs w:val="22"/>
              </w:rPr>
              <w:t>,</w:t>
            </w:r>
            <w:r w:rsidRPr="002827C0">
              <w:rPr>
                <w:sz w:val="22"/>
                <w:szCs w:val="22"/>
              </w:rPr>
              <w:t xml:space="preserve"> 17-105)</w:t>
            </w:r>
          </w:p>
          <w:p w:rsidR="002827C0" w:rsidP="00A41840">
            <w:pPr>
              <w:tabs>
                <w:tab w:val="left" w:pos="8640"/>
              </w:tabs>
              <w:rPr>
                <w:sz w:val="22"/>
                <w:szCs w:val="22"/>
              </w:rPr>
            </w:pPr>
            <w:bookmarkEnd w:id="1"/>
          </w:p>
          <w:p w:rsidR="0098184F" w:rsidP="0098184F">
            <w:pPr>
              <w:tabs>
                <w:tab w:val="left" w:pos="8640"/>
              </w:tabs>
              <w:rPr>
                <w:sz w:val="22"/>
                <w:szCs w:val="22"/>
              </w:rPr>
            </w:pPr>
            <w:r w:rsidRPr="0098184F">
              <w:rPr>
                <w:b/>
                <w:sz w:val="22"/>
                <w:szCs w:val="22"/>
              </w:rPr>
              <w:t xml:space="preserve">Business Data Services for Rate-of-Return Carriers Receiving </w:t>
            </w:r>
            <w:r w:rsidRPr="0098184F">
              <w:rPr>
                <w:b/>
                <w:sz w:val="22"/>
                <w:szCs w:val="22"/>
              </w:rPr>
              <w:t xml:space="preserve">Fixed Universal Service Support </w:t>
            </w:r>
            <w:r>
              <w:rPr>
                <w:sz w:val="22"/>
                <w:szCs w:val="22"/>
              </w:rPr>
              <w:t xml:space="preserve">– </w:t>
            </w:r>
            <w:r w:rsidRPr="0098184F">
              <w:rPr>
                <w:sz w:val="22"/>
                <w:szCs w:val="22"/>
              </w:rPr>
              <w:t>The Commission will consider a Report and Order that will allow rate-of-return carriers that receive fixed universal service support to elect incentive regulation for their business data services; a Further Notice of Proposed Rulemaking seeking comment on eliminating ex ante pricing regulation for lower capacity TDM services offered by rate-of-return carriers receiving fixed support; and a Second Further Notice of Proposed Rulemaking proposing to eliminate ex ante pricing regulation for TDM transport services offered by price cap carriers.</w:t>
            </w:r>
            <w:r>
              <w:rPr>
                <w:sz w:val="22"/>
                <w:szCs w:val="22"/>
              </w:rPr>
              <w:t xml:space="preserve">  (</w:t>
            </w:r>
            <w:r w:rsidRPr="0098184F">
              <w:rPr>
                <w:sz w:val="22"/>
                <w:szCs w:val="22"/>
              </w:rPr>
              <w:t>WC Docket No</w:t>
            </w:r>
            <w:r>
              <w:rPr>
                <w:sz w:val="22"/>
                <w:szCs w:val="22"/>
              </w:rPr>
              <w:t>s. 17-144, 16-143, 05-25)</w:t>
            </w:r>
          </w:p>
          <w:p w:rsidR="002827C0" w:rsidP="00A41840">
            <w:pPr>
              <w:tabs>
                <w:tab w:val="left" w:pos="8640"/>
              </w:tabs>
              <w:rPr>
                <w:sz w:val="22"/>
                <w:szCs w:val="22"/>
              </w:rPr>
            </w:pPr>
          </w:p>
          <w:p w:rsidR="002827C0" w:rsidP="002827C0">
            <w:pPr>
              <w:tabs>
                <w:tab w:val="left" w:pos="8640"/>
              </w:tabs>
              <w:rPr>
                <w:sz w:val="22"/>
                <w:szCs w:val="22"/>
              </w:rPr>
            </w:pPr>
            <w:r w:rsidRPr="004E0545">
              <w:rPr>
                <w:b/>
                <w:sz w:val="22"/>
                <w:szCs w:val="22"/>
              </w:rPr>
              <w:t>Enforcement Bureau Action</w:t>
            </w:r>
            <w:r>
              <w:rPr>
                <w:sz w:val="22"/>
                <w:szCs w:val="22"/>
              </w:rPr>
              <w:t xml:space="preserve"> – </w:t>
            </w:r>
            <w:r w:rsidRPr="004E0545">
              <w:rPr>
                <w:sz w:val="22"/>
                <w:szCs w:val="22"/>
              </w:rPr>
              <w:t>The Commission will consider an enforcement action.</w:t>
            </w:r>
          </w:p>
          <w:p w:rsidR="00A41840" w:rsidP="00A41840">
            <w:pPr>
              <w:tabs>
                <w:tab w:val="left" w:pos="8640"/>
              </w:tabs>
              <w:rPr>
                <w:sz w:val="22"/>
                <w:szCs w:val="22"/>
              </w:rPr>
            </w:pPr>
          </w:p>
          <w:p w:rsidR="002819BC"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w:t>
            </w:r>
            <w:r w:rsidRPr="002827C0">
              <w:rPr>
                <w:bCs/>
                <w:sz w:val="22"/>
                <w:szCs w:val="22"/>
              </w:rPr>
              <w:t xml:space="preserve">text of each item expected to be considered at the next Open Commission Meeting.  </w:t>
            </w:r>
            <w:r w:rsidRPr="002827C0" w:rsidR="00B03497">
              <w:rPr>
                <w:bCs/>
                <w:sz w:val="22"/>
                <w:szCs w:val="22"/>
              </w:rPr>
              <w:t xml:space="preserve">Drafts of items under consideration that involve specific, enforcement-related matters, which can include restricted proceedings and hearing designation orders, will not be publicly released.  </w:t>
            </w:r>
            <w:r w:rsidRPr="002827C0">
              <w:rPr>
                <w:bCs/>
                <w:sz w:val="22"/>
                <w:szCs w:val="22"/>
              </w:rPr>
              <w:t>One-page cover sheets are included in the public drafts to help summarize each item.  All these</w:t>
            </w:r>
            <w:r w:rsidRPr="00D569AA">
              <w:rPr>
                <w:bCs/>
                <w:sz w:val="22"/>
                <w:szCs w:val="22"/>
              </w:rPr>
              <w:t xml:space="preserve"> materials will be available on the FCC’s Open Meeting page: </w:t>
            </w:r>
            <w:r>
              <w:fldChar w:fldCharType="begin"/>
            </w:r>
            <w:r>
              <w:instrText xml:space="preserve"> HYPERLINK "http://www.fcc.gov/openmeeting" </w:instrText>
            </w:r>
            <w:r>
              <w:fldChar w:fldCharType="separate"/>
            </w:r>
            <w:r w:rsidRPr="000B4CA4">
              <w:rPr>
                <w:rStyle w:val="Hyperlink"/>
                <w:sz w:val="22"/>
                <w:szCs w:val="22"/>
              </w:rPr>
              <w:t>www.fcc.gov/openmeeting</w:t>
            </w:r>
            <w:r>
              <w:fldChar w:fldCharType="end"/>
            </w:r>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r>
              <w:fldChar w:fldCharType="begin"/>
            </w:r>
            <w:r>
              <w:instrText xml:space="preserve"> HYPERLINK "http://www.fcc.gov/live" </w:instrText>
            </w:r>
            <w:r>
              <w:fldChar w:fldCharType="separate"/>
            </w:r>
            <w:r w:rsidRPr="000B4CA4">
              <w:rPr>
                <w:rStyle w:val="Hyperlink"/>
                <w:sz w:val="22"/>
                <w:szCs w:val="22"/>
              </w:rPr>
              <w:t>www.fcc.gov/live</w:t>
            </w:r>
            <w:r>
              <w:fldChar w:fldCharType="end"/>
            </w:r>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E644FE" w:rsidRPr="006B0A70" w:rsidP="00B47F70">
            <w:pPr>
              <w:ind w:right="72"/>
              <w:jc w:val="center"/>
              <w:rPr>
                <w:b/>
                <w:bCs/>
                <w:sz w:val="18"/>
                <w:szCs w:val="18"/>
              </w:rPr>
            </w:pPr>
            <w:r w:rsidRPr="00641CD8">
              <w:rPr>
                <w:b/>
                <w:bCs/>
                <w:sz w:val="22"/>
                <w:szCs w:val="22"/>
              </w:rPr>
              <w:br/>
            </w:r>
            <w:r w:rsidRPr="006B0A70">
              <w:rPr>
                <w:b/>
                <w:bCs/>
                <w:sz w:val="18"/>
                <w:szCs w:val="18"/>
              </w:rPr>
              <w:t>Office of Media Relations: 202.418.0500</w:t>
            </w:r>
          </w:p>
          <w:p w:rsidR="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P="00B47F70">
            <w:pPr>
              <w:ind w:right="72"/>
              <w:jc w:val="center"/>
              <w:rPr>
                <w:b/>
                <w:bCs/>
                <w:sz w:val="18"/>
                <w:szCs w:val="18"/>
              </w:rPr>
            </w:pPr>
            <w:r>
              <w:rPr>
                <w:b/>
                <w:bCs/>
                <w:sz w:val="18"/>
                <w:szCs w:val="18"/>
              </w:rPr>
              <w:t>Twitter: @FCC</w:t>
            </w:r>
          </w:p>
          <w:p w:rsidR="002819BC" w:rsidP="00B47F70">
            <w:pPr>
              <w:ind w:right="72"/>
              <w:jc w:val="center"/>
              <w:rPr>
                <w:b/>
                <w:bCs/>
                <w:sz w:val="18"/>
                <w:szCs w:val="18"/>
              </w:rPr>
            </w:pPr>
            <w:r>
              <w:rPr>
                <w:b/>
                <w:bCs/>
                <w:sz w:val="18"/>
                <w:szCs w:val="18"/>
              </w:rPr>
              <w:t>#OpenMtgFCC</w:t>
            </w:r>
          </w:p>
          <w:p w:rsidR="002819BC" w:rsidRPr="00EE0E90" w:rsidP="00B47F70">
            <w:pPr>
              <w:ind w:right="72"/>
              <w:jc w:val="center"/>
              <w:rPr>
                <w:b/>
                <w:bCs/>
                <w:sz w:val="18"/>
                <w:szCs w:val="18"/>
              </w:rPr>
            </w:pPr>
            <w:r>
              <w:rPr>
                <w:b/>
                <w:bCs/>
                <w:sz w:val="18"/>
                <w:szCs w:val="18"/>
              </w:rPr>
              <w:t>www.fcc.gov/</w:t>
            </w:r>
            <w:r w:rsidRPr="007B3A48">
              <w:rPr>
                <w:b/>
                <w:bCs/>
                <w:sz w:val="18"/>
                <w:szCs w:val="18"/>
              </w:rPr>
              <w:t>media-relations</w:t>
            </w:r>
          </w:p>
          <w:p w:rsidR="00EE0E90" w:rsidP="00B47F70">
            <w:pPr>
              <w:ind w:right="72"/>
              <w:jc w:val="center"/>
              <w:rPr>
                <w:b/>
                <w:bCs/>
                <w:sz w:val="18"/>
                <w:szCs w:val="18"/>
              </w:rPr>
            </w:pPr>
          </w:p>
          <w:p w:rsidR="00EE0E90" w:rsidRPr="00986C92"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b/>
                <w:bCs/>
                <w:sz w:val="18"/>
                <w:szCs w:val="18"/>
              </w:rPr>
            </w:pP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N:\Releases%20and%20Statements\Template%20-%20White%20Copy%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