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B7252">
        <w:rPr>
          <w:szCs w:val="22"/>
        </w:rPr>
        <w:t>CONCORD</w:t>
      </w:r>
      <w:r>
        <w:rPr>
          <w:szCs w:val="22"/>
        </w:rPr>
        <w:t xml:space="preserve"> TELEPHONE </w:t>
      </w:r>
      <w:r w:rsidR="000B7252">
        <w:rPr>
          <w:szCs w:val="22"/>
        </w:rPr>
        <w:t>EXCHANGE, INC.</w:t>
      </w:r>
    </w:p>
    <w:p w:rsidR="00AC191A" w:rsidP="00AC191A">
      <w:pPr>
        <w:pStyle w:val="Title"/>
        <w:jc w:val="left"/>
        <w:rPr>
          <w:szCs w:val="22"/>
        </w:rPr>
      </w:pPr>
    </w:p>
    <w:p w:rsidR="00BB6E7C" w:rsidP="00585588">
      <w:pPr>
        <w:pStyle w:val="Title"/>
        <w:jc w:val="left"/>
        <w:rPr>
          <w:szCs w:val="22"/>
        </w:rPr>
      </w:pPr>
      <w:r>
        <w:rPr>
          <w:szCs w:val="22"/>
        </w:rPr>
        <w:t>WC Docket No. 18-</w:t>
      </w:r>
      <w:r w:rsidR="00E10B04">
        <w:rPr>
          <w:szCs w:val="22"/>
        </w:rPr>
        <w:t>296</w:t>
      </w:r>
      <w:r>
        <w:rPr>
          <w:szCs w:val="22"/>
        </w:rPr>
        <w:tab/>
      </w:r>
      <w:r>
        <w:rPr>
          <w:szCs w:val="22"/>
        </w:rPr>
        <w:tab/>
      </w:r>
      <w:r>
        <w:rPr>
          <w:szCs w:val="22"/>
        </w:rPr>
        <w:tab/>
      </w:r>
      <w:r>
        <w:rPr>
          <w:szCs w:val="22"/>
        </w:rPr>
        <w:tab/>
      </w:r>
      <w:r>
        <w:rPr>
          <w:szCs w:val="22"/>
        </w:rPr>
        <w:tab/>
        <w:t xml:space="preserve">     </w:t>
      </w:r>
      <w:r w:rsidR="000B7252">
        <w:rPr>
          <w:szCs w:val="22"/>
        </w:rPr>
        <w:t xml:space="preserve">   </w:t>
      </w:r>
      <w:r w:rsidR="00A21102">
        <w:rPr>
          <w:szCs w:val="22"/>
        </w:rPr>
        <w:t xml:space="preserve">    </w:t>
      </w:r>
      <w:r w:rsidR="000B7252">
        <w:rPr>
          <w:szCs w:val="22"/>
        </w:rPr>
        <w:t xml:space="preserve">October </w:t>
      </w:r>
      <w:r w:rsidR="00A21102">
        <w:rPr>
          <w:szCs w:val="22"/>
        </w:rPr>
        <w:t>4</w:t>
      </w:r>
      <w:r>
        <w:rPr>
          <w:szCs w:val="22"/>
        </w:rPr>
        <w:t>, 2018</w:t>
      </w:r>
    </w:p>
    <w:p w:rsidR="008961DF" w:rsidP="00585588">
      <w:pPr>
        <w:pStyle w:val="Title"/>
        <w:jc w:val="left"/>
        <w:rPr>
          <w:szCs w:val="22"/>
        </w:rPr>
      </w:pPr>
      <w:r w:rsidRPr="00F046EC">
        <w:rPr>
          <w:szCs w:val="22"/>
        </w:rPr>
        <w:t xml:space="preserve">Report No. </w:t>
      </w:r>
      <w:r>
        <w:rPr>
          <w:szCs w:val="22"/>
        </w:rPr>
        <w:t>NCD-28</w:t>
      </w:r>
      <w:r w:rsidR="000B7252">
        <w:rPr>
          <w:szCs w:val="22"/>
        </w:rPr>
        <w:t>5</w:t>
      </w:r>
      <w:r w:rsidR="007670AD">
        <w:rPr>
          <w:szCs w:val="22"/>
        </w:rPr>
        <w:t>8</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 xml:space="preserve">Concord </w:t>
      </w:r>
      <w:r w:rsidR="00BF3873">
        <w:rPr>
          <w:szCs w:val="22"/>
        </w:rPr>
        <w:t xml:space="preserve">Telephone </w:t>
      </w:r>
      <w:r>
        <w:rPr>
          <w:szCs w:val="22"/>
        </w:rPr>
        <w:t>Exchange, Inc.</w:t>
      </w:r>
      <w:r w:rsidRPr="009E4360" w:rsidR="00BF3873">
        <w:rPr>
          <w:szCs w:val="22"/>
        </w:rPr>
        <w:t xml:space="preserve"> (</w:t>
      </w:r>
      <w:r>
        <w:rPr>
          <w:szCs w:val="22"/>
        </w:rPr>
        <w:t>Concord</w:t>
      </w:r>
      <w:r w:rsidRPr="009E4360" w:rsidR="00BF3873">
        <w:rPr>
          <w:szCs w:val="22"/>
        </w:rPr>
        <w:t>)</w:t>
      </w:r>
      <w:r w:rsidRPr="009C555B" w:rsidR="00BF3873">
        <w:rPr>
          <w:szCs w:val="22"/>
        </w:rPr>
        <w:t xml:space="preserve">, an incumbent local exchange carrier (LEC), </w:t>
      </w:r>
      <w:r w:rsidRPr="00F046EC" w:rsidR="00BF3873">
        <w:rPr>
          <w:szCs w:val="22"/>
        </w:rPr>
        <w:t xml:space="preserve">has filed certification that </w:t>
      </w:r>
      <w:r w:rsidR="00BF3873">
        <w:rPr>
          <w:szCs w:val="22"/>
        </w:rPr>
        <w:t xml:space="preserve">public notice of network change(s) </w:t>
      </w:r>
      <w:r w:rsidRPr="00804C85" w:rsidR="00BF3873">
        <w:rPr>
          <w:szCs w:val="22"/>
        </w:rPr>
        <w:t>involving the retirement of copper</w:t>
      </w:r>
      <w:r w:rsidR="00BF3873">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  </w:t>
      </w:r>
      <w:r w:rsidRPr="009C555B" w:rsidR="00BF3873">
        <w:rPr>
          <w:szCs w:val="22"/>
        </w:rPr>
        <w:t>Upon initial review the filing appears to be complete.</w:t>
      </w:r>
      <w:r>
        <w:rPr>
          <w:rStyle w:val="FootnoteReference"/>
          <w:szCs w:val="22"/>
        </w:rPr>
        <w:footnoteReference w:id="2"/>
      </w:r>
      <w:r w:rsidR="00BF3873">
        <w:rPr>
          <w:szCs w:val="22"/>
        </w:rPr>
        <w:t xml:space="preserve">  </w:t>
      </w:r>
      <w:r w:rsidRPr="00E25608" w:rsidR="00BF3873">
        <w:rPr>
          <w:szCs w:val="22"/>
        </w:rPr>
        <w:t xml:space="preserve">Specific network change information can be obtained on the Internet at:  </w:t>
      </w:r>
      <w:r>
        <w:fldChar w:fldCharType="begin"/>
      </w:r>
      <w:r>
        <w:instrText xml:space="preserve"> HYPERLINK "https://tdstelecom.com/carrierservices/public-notices/2018.html" </w:instrText>
      </w:r>
      <w:r>
        <w:fldChar w:fldCharType="separate"/>
      </w:r>
      <w:r w:rsidRPr="009A0184" w:rsidR="00BF3873">
        <w:rPr>
          <w:rStyle w:val="Hyperlink"/>
        </w:rPr>
        <w:t>https://tdstelecom.com/carrierservices/public-notices/2018.html</w:t>
      </w:r>
      <w:r>
        <w:fldChar w:fldCharType="end"/>
      </w:r>
      <w:r w:rsidR="00BF3873">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340"/>
        <w:gridCol w:w="2880"/>
        <w:gridCol w:w="2520"/>
      </w:tblGrid>
      <w:tr w:rsidTr="00F7363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34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88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Planned </w:t>
            </w:r>
            <w:r w:rsidRPr="007E723C">
              <w:rPr>
                <w:b/>
                <w:szCs w:val="22"/>
              </w:rPr>
              <w:t>Implementation Date(s)</w:t>
            </w:r>
          </w:p>
        </w:tc>
      </w:tr>
      <w:tr w:rsidTr="00F73638">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2018-</w:t>
            </w:r>
            <w:r w:rsidR="00921565">
              <w:rPr>
                <w:bCs/>
                <w:color w:val="231F20"/>
                <w:szCs w:val="22"/>
              </w:rPr>
              <w:t>30</w:t>
            </w:r>
            <w:r>
              <w:rPr>
                <w:bCs/>
                <w:color w:val="231F20"/>
                <w:szCs w:val="22"/>
              </w:rPr>
              <w:t xml:space="preserve"> </w:t>
            </w:r>
            <w:r w:rsidR="00921565">
              <w:rPr>
                <w:bCs/>
                <w:color w:val="231F20"/>
                <w:szCs w:val="22"/>
              </w:rPr>
              <w:t>Knoxville</w:t>
            </w:r>
            <w:r>
              <w:rPr>
                <w:bCs/>
                <w:color w:val="231F20"/>
                <w:szCs w:val="22"/>
              </w:rPr>
              <w:t xml:space="preserve">, </w:t>
            </w:r>
            <w:r w:rsidR="00921565">
              <w:rPr>
                <w:bCs/>
                <w:color w:val="231F20"/>
                <w:szCs w:val="22"/>
              </w:rPr>
              <w:t>TN</w:t>
            </w:r>
            <w:r>
              <w:rPr>
                <w:bCs/>
                <w:color w:val="231F20"/>
                <w:szCs w:val="22"/>
              </w:rPr>
              <w:t xml:space="preserve"> (</w:t>
            </w:r>
            <w:r w:rsidR="00921565">
              <w:rPr>
                <w:bCs/>
                <w:color w:val="231F20"/>
                <w:szCs w:val="22"/>
              </w:rPr>
              <w:t>Turkey Creek</w:t>
            </w:r>
            <w:r w:rsidR="008E6D86">
              <w:rPr>
                <w:bCs/>
                <w:color w:val="231F20"/>
                <w:szCs w:val="22"/>
              </w:rPr>
              <w:t xml:space="preserve"> R</w:t>
            </w:r>
            <w:r w:rsidR="00A717F5">
              <w:rPr>
                <w:bCs/>
                <w:color w:val="231F20"/>
                <w:szCs w:val="22"/>
              </w:rPr>
              <w:t>d.</w:t>
            </w:r>
            <w:bookmarkStart w:id="0" w:name="_GoBack"/>
            <w:bookmarkEnd w:id="0"/>
            <w:r>
              <w:rPr>
                <w:bCs/>
                <w:color w:val="231F20"/>
                <w:szCs w:val="22"/>
              </w:rPr>
              <w:t>)</w:t>
            </w:r>
          </w:p>
        </w:tc>
        <w:tc>
          <w:tcPr>
            <w:tcW w:w="2340" w:type="dxa"/>
            <w:shd w:val="clear" w:color="auto" w:fill="auto"/>
          </w:tcPr>
          <w:p w:rsidR="00C152CC" w:rsidRPr="0019040E" w:rsidP="00163618">
            <w:pPr>
              <w:pStyle w:val="Default"/>
              <w:rPr>
                <w:rFonts w:ascii="Times New Roman" w:hAnsi="Times New Roman" w:cs="Times New Roman"/>
                <w:sz w:val="22"/>
                <w:szCs w:val="22"/>
              </w:rPr>
            </w:pPr>
            <w:r>
              <w:rPr>
                <w:rFonts w:ascii="Times New Roman" w:hAnsi="Times New Roman" w:cs="Times New Roman"/>
                <w:sz w:val="22"/>
                <w:szCs w:val="22"/>
              </w:rPr>
              <w:t>Concord</w:t>
            </w:r>
            <w:r w:rsidRPr="004E7FAD" w:rsidR="00BF3873">
              <w:rPr>
                <w:rFonts w:ascii="Times New Roman" w:hAnsi="Times New Roman" w:cs="Times New Roman"/>
                <w:sz w:val="22"/>
                <w:szCs w:val="22"/>
              </w:rPr>
              <w:t xml:space="preserve"> plans to retire a number of copper facilities and replace them with fiber facilities to provide services over its fiber-to-the-home network infrastructure.</w:t>
            </w:r>
          </w:p>
        </w:tc>
        <w:tc>
          <w:tcPr>
            <w:tcW w:w="2880" w:type="dxa"/>
            <w:shd w:val="clear" w:color="auto" w:fill="auto"/>
          </w:tcPr>
          <w:p w:rsidR="00754FEE" w:rsidRPr="00860B5A" w:rsidP="00163618">
            <w:pPr>
              <w:pStyle w:val="Default"/>
              <w:rPr>
                <w:szCs w:val="22"/>
              </w:rPr>
            </w:pPr>
            <w:r w:rsidRPr="004E7FAD">
              <w:rPr>
                <w:rFonts w:ascii="Times New Roman" w:hAnsi="Times New Roman" w:cs="Times New Roman"/>
                <w:sz w:val="22"/>
                <w:szCs w:val="22"/>
              </w:rPr>
              <w:t xml:space="preserve">DSA </w:t>
            </w:r>
            <w:r w:rsidR="00921565">
              <w:rPr>
                <w:rFonts w:ascii="Times New Roman" w:hAnsi="Times New Roman" w:cs="Times New Roman"/>
                <w:sz w:val="22"/>
                <w:szCs w:val="22"/>
              </w:rPr>
              <w:t>17807</w:t>
            </w:r>
            <w:r w:rsidRPr="004E7FAD">
              <w:rPr>
                <w:rFonts w:ascii="Times New Roman" w:hAnsi="Times New Roman" w:cs="Times New Roman"/>
                <w:sz w:val="22"/>
                <w:szCs w:val="22"/>
              </w:rPr>
              <w:t xml:space="preserve"> (CLLI: </w:t>
            </w:r>
            <w:r w:rsidR="00921565">
              <w:rPr>
                <w:rFonts w:ascii="Times New Roman" w:hAnsi="Times New Roman" w:cs="Times New Roman"/>
                <w:sz w:val="22"/>
                <w:szCs w:val="22"/>
              </w:rPr>
              <w:t>CNCRTN07</w:t>
            </w:r>
            <w:r w:rsidRPr="004E7FAD">
              <w:rPr>
                <w:rFonts w:ascii="Times New Roman" w:hAnsi="Times New Roman" w:cs="Times New Roman"/>
                <w:sz w:val="22"/>
                <w:szCs w:val="22"/>
              </w:rPr>
              <w:t xml:space="preserve">) – </w:t>
            </w:r>
            <w:r w:rsidR="00921565">
              <w:rPr>
                <w:rFonts w:ascii="Times New Roman" w:hAnsi="Times New Roman" w:cs="Times New Roman"/>
                <w:sz w:val="22"/>
                <w:szCs w:val="22"/>
              </w:rPr>
              <w:t>11730 Turkey Creek</w:t>
            </w:r>
            <w:r>
              <w:rPr>
                <w:rFonts w:ascii="Times New Roman" w:hAnsi="Times New Roman" w:cs="Times New Roman"/>
                <w:sz w:val="22"/>
                <w:szCs w:val="22"/>
              </w:rPr>
              <w:t xml:space="preserve"> Road, </w:t>
            </w:r>
            <w:r w:rsidR="00921565">
              <w:rPr>
                <w:rFonts w:ascii="Times New Roman" w:hAnsi="Times New Roman" w:cs="Times New Roman"/>
                <w:sz w:val="22"/>
                <w:szCs w:val="22"/>
              </w:rPr>
              <w:t>Knoxville</w:t>
            </w:r>
            <w:r>
              <w:rPr>
                <w:rFonts w:ascii="Times New Roman" w:hAnsi="Times New Roman" w:cs="Times New Roman"/>
                <w:sz w:val="22"/>
                <w:szCs w:val="22"/>
              </w:rPr>
              <w:t xml:space="preserve">, </w:t>
            </w:r>
            <w:r w:rsidR="00921565">
              <w:rPr>
                <w:rFonts w:ascii="Times New Roman" w:hAnsi="Times New Roman" w:cs="Times New Roman"/>
                <w:sz w:val="22"/>
                <w:szCs w:val="22"/>
              </w:rPr>
              <w:t>TN</w:t>
            </w:r>
            <w:r>
              <w:rPr>
                <w:rFonts w:ascii="Times New Roman" w:hAnsi="Times New Roman" w:cs="Times New Roman"/>
                <w:sz w:val="22"/>
                <w:szCs w:val="22"/>
              </w:rPr>
              <w:t xml:space="preserve"> </w:t>
            </w:r>
            <w:r w:rsidR="00921565">
              <w:rPr>
                <w:rFonts w:ascii="Times New Roman" w:hAnsi="Times New Roman" w:cs="Times New Roman"/>
                <w:sz w:val="22"/>
                <w:szCs w:val="22"/>
              </w:rPr>
              <w:t>37934</w:t>
            </w:r>
            <w:r w:rsidRPr="004E7FAD">
              <w:rPr>
                <w:rFonts w:ascii="Times New Roman" w:hAnsi="Times New Roman" w:cs="Times New Roman"/>
                <w:sz w:val="22"/>
                <w:szCs w:val="22"/>
              </w:rPr>
              <w:t xml:space="preserve"> &amp; at facilities associated with the locations served by this DSA listed </w:t>
            </w:r>
            <w:r>
              <w:rPr>
                <w:rFonts w:ascii="Times New Roman" w:hAnsi="Times New Roman" w:cs="Times New Roman"/>
                <w:sz w:val="22"/>
                <w:szCs w:val="22"/>
              </w:rPr>
              <w:t xml:space="preserve">in </w:t>
            </w:r>
            <w:r w:rsidRPr="004E7FAD">
              <w:rPr>
                <w:rFonts w:ascii="Times New Roman" w:hAnsi="Times New Roman" w:cs="Times New Roman"/>
                <w:sz w:val="22"/>
                <w:szCs w:val="22"/>
              </w:rPr>
              <w:t xml:space="preserve">Exhibit A </w:t>
            </w:r>
            <w:r>
              <w:rPr>
                <w:rFonts w:ascii="Times New Roman" w:hAnsi="Times New Roman" w:cs="Times New Roman"/>
                <w:sz w:val="22"/>
                <w:szCs w:val="22"/>
              </w:rPr>
              <w:t xml:space="preserve">of </w:t>
            </w:r>
            <w:r w:rsidR="00921565">
              <w:rPr>
                <w:rFonts w:ascii="Times New Roman" w:hAnsi="Times New Roman" w:cs="Times New Roman"/>
                <w:sz w:val="22"/>
                <w:szCs w:val="22"/>
              </w:rPr>
              <w:t>Concord</w:t>
            </w:r>
            <w:r>
              <w:rPr>
                <w:rFonts w:ascii="Times New Roman" w:hAnsi="Times New Roman" w:cs="Times New Roman"/>
                <w:sz w:val="22"/>
                <w:szCs w:val="22"/>
              </w:rPr>
              <w:t>’s notice</w:t>
            </w:r>
            <w:r w:rsidRPr="004E7FAD">
              <w:rPr>
                <w:rFonts w:ascii="Times New Roman" w:hAnsi="Times New Roman" w:cs="Times New Roman"/>
                <w:sz w:val="22"/>
                <w:szCs w:val="22"/>
              </w:rPr>
              <w:t>.</w:t>
            </w:r>
          </w:p>
        </w:tc>
        <w:tc>
          <w:tcPr>
            <w:tcW w:w="2520" w:type="dxa"/>
            <w:shd w:val="clear" w:color="auto" w:fill="auto"/>
          </w:tcPr>
          <w:p w:rsidR="00C152CC" w:rsidRPr="000B7252" w:rsidP="00163618">
            <w:pPr>
              <w:tabs>
                <w:tab w:val="left" w:pos="0"/>
              </w:tabs>
              <w:suppressAutoHyphens/>
              <w:rPr>
                <w:b/>
                <w:szCs w:val="22"/>
              </w:rPr>
            </w:pPr>
            <w:r>
              <w:rPr>
                <w:szCs w:val="22"/>
              </w:rPr>
              <w:t xml:space="preserve">On or after </w:t>
            </w:r>
            <w:r w:rsidR="00921565">
              <w:rPr>
                <w:szCs w:val="22"/>
              </w:rPr>
              <w:t>January 2</w:t>
            </w:r>
            <w:r>
              <w:rPr>
                <w:szCs w:val="22"/>
              </w:rPr>
              <w:t>, 201</w:t>
            </w:r>
            <w:r w:rsidR="00921565">
              <w:rPr>
                <w:szCs w:val="22"/>
              </w:rPr>
              <w:t>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sidR="00E66495">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w:t>
      </w:r>
      <w:r w:rsidRPr="00EB7576">
        <w:rPr>
          <w:szCs w:val="22"/>
        </w:rPr>
        <w:t xml:space="preserve">The effective implementation </w:t>
      </w:r>
      <w:r w:rsidRPr="00EB7576">
        <w:rPr>
          <w:szCs w:val="22"/>
        </w:rPr>
        <w:t>date(s) of network changes referenced in standard copper retirement notices are subject to the FCC public notice periods described under section 51.333(b)(2).</w:t>
      </w:r>
      <w:r>
        <w:rPr>
          <w:szCs w:val="22"/>
          <w:vertAlign w:val="superscript"/>
        </w:rPr>
        <w:footnoteReference w:id="4"/>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5">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015851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