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25E7E" w:rsidP="00D25E7E">
      <w:pPr>
        <w:pStyle w:val="TOAHeading"/>
        <w:spacing w:line="240" w:lineRule="auto"/>
        <w:rPr>
          <w:rFonts w:ascii="Times New Roman" w:hAnsi="Times New Roman"/>
        </w:rPr>
      </w:pPr>
      <w:r>
        <w:rPr>
          <w:rFonts w:ascii="Times New Roman" w:hAnsi="Times New Roman"/>
        </w:rPr>
        <w:tab/>
      </w:r>
      <w:r w:rsidR="008A4BA0">
        <w:rPr>
          <w:rFonts w:ascii="Times New Roman" w:hAnsi="Times New Roman"/>
        </w:rPr>
        <w:t>October 16</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TUESDAY</w:t>
      </w:r>
      <w:r w:rsidR="002605A8">
        <w:rPr>
          <w:rFonts w:ascii="Times New Roman" w:hAnsi="Times New Roman"/>
        </w:rPr>
        <w:t xml:space="preserve">, </w:t>
      </w:r>
      <w:r>
        <w:rPr>
          <w:rFonts w:ascii="Times New Roman" w:hAnsi="Times New Roman"/>
        </w:rPr>
        <w:t>OCTOBER 23</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1A1D12" w:rsidP="001A1D12">
      <w:pPr>
        <w:pStyle w:val="BodyText"/>
        <w:tabs>
          <w:tab w:val="clear" w:pos="-720"/>
        </w:tabs>
        <w:spacing w:line="240" w:lineRule="auto"/>
      </w:pPr>
      <w:r>
        <w:t xml:space="preserve">The Federal Communications Commission will hold an Open Meeting on the subjects listed below on </w:t>
      </w:r>
      <w:r w:rsidR="008A4BA0">
        <w:t>Tuesday</w:t>
      </w:r>
      <w:r>
        <w:t xml:space="preserve">, </w:t>
      </w:r>
      <w:r w:rsidR="008A4BA0">
        <w:t>October 23</w:t>
      </w:r>
      <w:r>
        <w:t xml:space="preserve">, 2018 which is scheduled to commence at </w:t>
      </w:r>
      <w:r>
        <w:fldChar w:fldCharType="begin"/>
      </w:r>
      <w:r>
        <w:instrText xml:space="preserve"> FILLIN "Type the meeting time and click OK" \* MERGEFORMAT </w:instrText>
      </w:r>
      <w:r>
        <w:fldChar w:fldCharType="separate"/>
      </w:r>
      <w:r>
        <w:t>10:30 a.m.</w:t>
      </w:r>
      <w:r>
        <w:fldChar w:fldCharType="end"/>
      </w:r>
      <w:r>
        <w:t xml:space="preserve"> in Room TW-C305, at 445 12th Street, S.W., Washington, D.C.</w:t>
      </w:r>
      <w:r w:rsidR="009D3666">
        <w:t xml:space="preserve"> </w:t>
      </w:r>
    </w:p>
    <w:p w:rsidR="00A3114B" w:rsidP="001A1D12">
      <w:pPr>
        <w:pStyle w:val="BodyText"/>
        <w:tabs>
          <w:tab w:val="clear" w:pos="-720"/>
        </w:tabs>
        <w:spacing w:line="240" w:lineRule="auto"/>
      </w:pPr>
    </w:p>
    <w:p w:rsidR="00E23086" w:rsidRPr="003F73DE" w:rsidP="007F1BEC">
      <w:pPr>
        <w:rPr>
          <w:rFonts w:ascii="Times New Roman" w:hAnsi="Times New Roman"/>
        </w:rPr>
      </w:pPr>
      <w:r w:rsidRPr="003F73DE">
        <w:rPr>
          <w:rFonts w:ascii="Times New Roman" w:hAnsi="Times New Roman"/>
        </w:rPr>
        <w:t xml:space="preserve">Because of the unexpected closure of the FCC headquarters on Monday, October 15, the Commission has determined that it is in the public interest to delay for one day the onset of the sunshine period prohibition contained in Section 1.1203 of the Commission’s rules, </w:t>
      </w:r>
      <w:r w:rsidRPr="003F73DE" w:rsidR="000A4E36">
        <w:rPr>
          <w:rFonts w:ascii="Times New Roman" w:hAnsi="Times New Roman"/>
          <w:u w:val="single"/>
        </w:rPr>
        <w:t>47 C.F.R. § 1.1203</w:t>
      </w:r>
      <w:r w:rsidRPr="003F73DE">
        <w:rPr>
          <w:rFonts w:ascii="Times New Roman" w:hAnsi="Times New Roman"/>
          <w:u w:val="single"/>
        </w:rPr>
        <w:t>.</w:t>
      </w:r>
      <w:r w:rsidRPr="000A4E36">
        <w:rPr>
          <w:rFonts w:ascii="Times New Roman" w:hAnsi="Times New Roman"/>
        </w:rPr>
        <w:t xml:space="preserve">  Accordingly, consistent with Section 1.1200(a) of the Commission’s rules, </w:t>
      </w:r>
      <w:r w:rsidRPr="000A4E36">
        <w:rPr>
          <w:rFonts w:ascii="Times New Roman" w:hAnsi="Times New Roman"/>
          <w:u w:val="single"/>
        </w:rPr>
        <w:t>47 C.F.R. § 1.1200(a),</w:t>
      </w:r>
      <w:r w:rsidRPr="000A4E36">
        <w:rPr>
          <w:rFonts w:ascii="Times New Roman" w:hAnsi="Times New Roman"/>
        </w:rPr>
        <w:t xml:space="preserve"> </w:t>
      </w:r>
      <w:r w:rsidRPr="003F73DE">
        <w:rPr>
          <w:rFonts w:ascii="Times New Roman" w:hAnsi="Times New Roman"/>
        </w:rPr>
        <w:t xml:space="preserve">the Commission hereby modifies its rules so that the sunshine period prohibition will begin </w:t>
      </w:r>
      <w:r w:rsidRPr="003F73DE">
        <w:rPr>
          <w:rFonts w:ascii="Times New Roman" w:hAnsi="Times New Roman"/>
        </w:rPr>
        <w:t xml:space="preserve">at 11:59 PM on Wednesday, October 17, rather than </w:t>
      </w:r>
      <w:r>
        <w:rPr>
          <w:rFonts w:ascii="Times New Roman" w:hAnsi="Times New Roman"/>
        </w:rPr>
        <w:t xml:space="preserve">at </w:t>
      </w:r>
      <w:r w:rsidRPr="003F73DE">
        <w:rPr>
          <w:rFonts w:ascii="Times New Roman" w:hAnsi="Times New Roman"/>
        </w:rPr>
        <w:t xml:space="preserve">11:59 PM on Tuesday, October 16. </w:t>
      </w:r>
    </w:p>
    <w:p w:rsidR="00A3114B" w:rsidP="003F73DE">
      <w:pPr>
        <w:pStyle w:val="BodyText"/>
      </w:pPr>
    </w:p>
    <w:tbl>
      <w:tblPr>
        <w:tblW w:w="9540" w:type="dxa"/>
        <w:tblInd w:w="-60" w:type="dxa"/>
        <w:tblLayout w:type="fixed"/>
        <w:tblCellMar>
          <w:left w:w="120" w:type="dxa"/>
          <w:right w:w="120" w:type="dxa"/>
        </w:tblCellMar>
        <w:tblLook w:val="0000"/>
      </w:tblPr>
      <w:tblGrid>
        <w:gridCol w:w="1440"/>
        <w:gridCol w:w="2880"/>
        <w:gridCol w:w="5220"/>
      </w:tblGrid>
      <w:tr w:rsidTr="005959FC">
        <w:tblPrEx>
          <w:tblW w:w="9540" w:type="dxa"/>
          <w:tblInd w:w="-60" w:type="dxa"/>
          <w:tblLayout w:type="fixed"/>
          <w:tblCellMar>
            <w:left w:w="120" w:type="dxa"/>
            <w:right w:w="120" w:type="dxa"/>
          </w:tblCellMar>
          <w:tblLook w:val="0000"/>
        </w:tblPrEx>
        <w:tc>
          <w:tcPr>
            <w:tcW w:w="1440" w:type="dxa"/>
          </w:tcPr>
          <w:p w:rsidR="00D25E7E" w:rsidRPr="00986C70" w:rsidP="004E3901">
            <w:pPr>
              <w:suppressAutoHyphens/>
              <w:spacing w:before="90" w:after="54"/>
              <w:jc w:val="center"/>
              <w:rPr>
                <w:rFonts w:ascii="Times New Roman" w:hAnsi="Times New Roman"/>
                <w:b/>
                <w:u w:val="single"/>
              </w:rPr>
            </w:pPr>
            <w:bookmarkStart w:id="0" w:name="_GoBack"/>
            <w:bookmarkEnd w:id="0"/>
            <w:r w:rsidRPr="00986C70">
              <w:rPr>
                <w:rFonts w:ascii="Times New Roman" w:hAnsi="Times New Roman"/>
                <w:b/>
                <w:u w:val="single"/>
              </w:rPr>
              <w:t>ITEM NO.</w:t>
            </w:r>
          </w:p>
        </w:tc>
        <w:tc>
          <w:tcPr>
            <w:tcW w:w="288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rsidTr="005959FC">
        <w:tblPrEx>
          <w:tblW w:w="9540" w:type="dxa"/>
          <w:tblInd w:w="-60" w:type="dxa"/>
          <w:tblLayout w:type="fixed"/>
          <w:tblCellMar>
            <w:left w:w="120" w:type="dxa"/>
            <w:right w:w="120" w:type="dxa"/>
          </w:tblCellMar>
          <w:tblLook w:val="0000"/>
        </w:tblPrEx>
        <w:tc>
          <w:tcPr>
            <w:tcW w:w="1440" w:type="dxa"/>
          </w:tcPr>
          <w:p w:rsidR="00A266B1" w:rsidP="004E3901">
            <w:pPr>
              <w:suppressAutoHyphens/>
              <w:spacing w:before="90" w:after="54"/>
              <w:jc w:val="center"/>
              <w:rPr>
                <w:rFonts w:ascii="Times New Roman" w:hAnsi="Times New Roman"/>
                <w:b/>
              </w:rPr>
            </w:pPr>
            <w:r>
              <w:rPr>
                <w:rFonts w:ascii="Times New Roman" w:hAnsi="Times New Roman"/>
                <w:b/>
              </w:rPr>
              <w:t>1</w:t>
            </w:r>
          </w:p>
        </w:tc>
        <w:tc>
          <w:tcPr>
            <w:tcW w:w="2880" w:type="dxa"/>
          </w:tcPr>
          <w:p w:rsidR="002147D3"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tc>
        <w:tc>
          <w:tcPr>
            <w:tcW w:w="5220" w:type="dxa"/>
          </w:tcPr>
          <w:p w:rsidR="00A266B1" w:rsidRPr="00EB7261" w:rsidP="004E3901">
            <w:pPr>
              <w:widowControl/>
              <w:suppressAutoHyphens/>
              <w:autoSpaceDE/>
              <w:adjustRightInd/>
              <w:spacing w:before="90" w:after="54"/>
              <w:rPr>
                <w:rFonts w:ascii="Times New Roman" w:hAnsi="Times New Roman"/>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007F5E5B">
              <w:rPr>
                <w:rFonts w:ascii="Times New Roman" w:hAnsi="Times New Roman"/>
              </w:rPr>
              <w:t>Unlicensed Use of the 6 GHz Band (ET Docket No. 18-295); Expanding Flexible Use in Mid-Band Spectrum Between 3.7 and 24 GHz (GN Docket No. 17-183)</w:t>
            </w:r>
          </w:p>
          <w:p w:rsidR="00291840" w:rsidP="00291840">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7F5E5B" w:rsidR="007F5E5B">
              <w:rPr>
                <w:rFonts w:ascii="Times New Roman" w:hAnsi="Times New Roman"/>
              </w:rPr>
              <w:t>The Commission will consider a Notice of Proposed Rulemaking that promotes the use of mid-band spectrum for broadband by proposing to allow new unlicensed uses of the 5.925-7.125 GHz band while protecting existing and future licensed operations.</w:t>
            </w:r>
          </w:p>
          <w:p w:rsidR="00C94151" w:rsidRPr="00C94151" w:rsidP="004E3901">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291840" w:rsidP="004E3901">
            <w:pPr>
              <w:suppressAutoHyphens/>
              <w:spacing w:before="90" w:after="54"/>
              <w:jc w:val="center"/>
              <w:rPr>
                <w:rFonts w:ascii="Times New Roman" w:hAnsi="Times New Roman"/>
                <w:b/>
              </w:rPr>
            </w:pPr>
            <w:r>
              <w:rPr>
                <w:rFonts w:ascii="Times New Roman" w:hAnsi="Times New Roman"/>
                <w:b/>
              </w:rPr>
              <w:t>2</w:t>
            </w:r>
          </w:p>
        </w:tc>
        <w:tc>
          <w:tcPr>
            <w:tcW w:w="2880" w:type="dxa"/>
          </w:tcPr>
          <w:p w:rsidR="00291840"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rsidR="00551E9F"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AND </w:t>
            </w:r>
          </w:p>
          <w:p w:rsidR="00551E9F" w:rsidP="00BC7CBB">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&amp; TECHNOLOGY</w:t>
            </w:r>
          </w:p>
        </w:tc>
        <w:tc>
          <w:tcPr>
            <w:tcW w:w="5220" w:type="dxa"/>
          </w:tcPr>
          <w:p w:rsidR="00291840" w:rsidP="004E3901">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3C5A52">
              <w:rPr>
                <w:rFonts w:ascii="Times New Roman" w:hAnsi="Times New Roman"/>
              </w:rPr>
              <w:t>Promoting Investment in the 3550-3700 MHz Band (GN Docket No. 17-258)</w:t>
            </w:r>
          </w:p>
          <w:p w:rsidR="00291840" w:rsidRPr="00291840" w:rsidP="004E3901">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921832" w:rsidR="00921832">
              <w:rPr>
                <w:rFonts w:ascii="Times New Roman" w:hAnsi="Times New Roman"/>
              </w:rPr>
              <w:t xml:space="preserve">The Commission will consider a Report and Order that would make limited changes to the Citizens Broadband Radio Service in </w:t>
            </w:r>
            <w:r w:rsidR="00896C51">
              <w:rPr>
                <w:rFonts w:ascii="Times New Roman" w:hAnsi="Times New Roman"/>
              </w:rPr>
              <w:t xml:space="preserve">the </w:t>
            </w:r>
            <w:r w:rsidRPr="00921832" w:rsidR="00921832">
              <w:rPr>
                <w:rFonts w:ascii="Times New Roman" w:hAnsi="Times New Roman"/>
              </w:rPr>
              <w:t>3.5 GHz band to increase incentives for innovation and investment, including for mobile 5G services.</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3</w:t>
            </w:r>
          </w:p>
        </w:tc>
        <w:tc>
          <w:tcPr>
            <w:tcW w:w="2880" w:type="dxa"/>
          </w:tcPr>
          <w:p w:rsidR="004207B8"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p w:rsidR="00DE1259"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AND </w:t>
            </w:r>
          </w:p>
          <w:p w:rsidR="00DE1259" w:rsidP="00DF38CC">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rsidR="002031FB" w:rsidRPr="00A55402" w:rsidP="0007689B">
            <w:pPr>
              <w:widowControl/>
              <w:suppressAutoHyphens/>
              <w:autoSpaceDE/>
              <w:adjustRightInd/>
              <w:spacing w:before="90" w:after="54"/>
              <w:rPr>
                <w:rFonts w:ascii="Times New Roman" w:hAnsi="Times New Roman"/>
              </w:rPr>
            </w:pPr>
            <w:r>
              <w:rPr>
                <w:rFonts w:ascii="Times New Roman" w:hAnsi="Times New Roman"/>
                <w:b/>
              </w:rPr>
              <w:t>TITLE:</w:t>
            </w:r>
            <w:r w:rsidR="00527169">
              <w:rPr>
                <w:rFonts w:ascii="Times New Roman" w:hAnsi="Times New Roman"/>
              </w:rPr>
              <w:t xml:space="preserve"> </w:t>
            </w:r>
            <w:r w:rsidR="0001184B">
              <w:rPr>
                <w:rFonts w:ascii="Times New Roman" w:hAnsi="Times New Roman"/>
              </w:rPr>
              <w:t xml:space="preserve"> </w:t>
            </w:r>
            <w:r w:rsidRPr="00723157" w:rsidR="00723157">
              <w:rPr>
                <w:rFonts w:ascii="Times New Roman" w:hAnsi="Times New Roman"/>
              </w:rPr>
              <w:t>Creation of Interstitial 12.5 Kilohertz Channels in the 800 MHz Band Between 809-817/854-862 MHz</w:t>
            </w:r>
            <w:r w:rsidR="00DE6EAA">
              <w:rPr>
                <w:rFonts w:ascii="Times New Roman" w:hAnsi="Times New Roman"/>
              </w:rPr>
              <w:t xml:space="preserve"> (WP Docket No. 15-32</w:t>
            </w:r>
            <w:r w:rsidR="00723157">
              <w:rPr>
                <w:rFonts w:ascii="Times New Roman" w:hAnsi="Times New Roman"/>
              </w:rPr>
              <w:t xml:space="preserve">, RM-11572); </w:t>
            </w:r>
            <w:r w:rsidRPr="00723157" w:rsidR="00723157">
              <w:rPr>
                <w:rFonts w:ascii="Times New Roman" w:hAnsi="Times New Roman"/>
              </w:rPr>
              <w:t>Amendment of Part 90 of the Commission’s Rules to Improve Access to Private Land Mobile Radio Spectrum</w:t>
            </w:r>
            <w:r w:rsidR="00723157">
              <w:rPr>
                <w:rFonts w:ascii="Times New Roman" w:hAnsi="Times New Roman"/>
              </w:rPr>
              <w:t xml:space="preserve"> (WP Docket No. 16-261); Land Mobile Communications Council Petition for Rulemaking Regarding Interim Eligibility for 800 MHz Expansion Band and Guard Band Frequencies (RM-11719); Petition for Rulemaking Regarding Conditional Licensing Authority Above 470 MHz (RM-11722)</w:t>
            </w:r>
          </w:p>
          <w:p w:rsidR="00D27010" w:rsidRPr="00B96FFE" w:rsidP="004E3901">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723157" w:rsidR="00723157">
              <w:rPr>
                <w:rFonts w:ascii="Times New Roman" w:hAnsi="Times New Roman"/>
              </w:rPr>
              <w:t xml:space="preserve">The Commission will consider a Report and Order and Order </w:t>
            </w:r>
            <w:r w:rsidRPr="00723157" w:rsidR="00723157">
              <w:rPr>
                <w:rFonts w:ascii="Times New Roman" w:hAnsi="Times New Roman"/>
              </w:rPr>
              <w:t>opening up</w:t>
            </w:r>
            <w:r w:rsidRPr="00723157" w:rsidR="00723157">
              <w:rPr>
                <w:rFonts w:ascii="Times New Roman" w:hAnsi="Times New Roman"/>
              </w:rPr>
              <w:t xml:space="preserve"> new channels in the 800 MHz Private Land Mobile Radio (PLMR) band, eliminating outdated rules, and reducing administrative burdens on PLMR licensees.</w:t>
            </w:r>
          </w:p>
          <w:p w:rsidR="00D27010" w:rsidRPr="00144038" w:rsidP="004E3901">
            <w:pPr>
              <w:widowControl/>
              <w:suppressAutoHyphens/>
              <w:autoSpaceDE/>
              <w:adjustRightInd/>
              <w:spacing w:before="90" w:after="54"/>
              <w:jc w:val="both"/>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4</w:t>
            </w:r>
          </w:p>
        </w:tc>
        <w:tc>
          <w:tcPr>
            <w:tcW w:w="2880" w:type="dxa"/>
          </w:tcPr>
          <w:p w:rsidR="00B90F0A" w:rsidP="004E3901">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P="004D270D">
            <w:pPr>
              <w:widowControl/>
              <w:suppressAutoHyphens/>
              <w:autoSpaceDE/>
              <w:adjustRightInd/>
              <w:spacing w:before="90" w:after="54"/>
              <w:rPr>
                <w:rFonts w:ascii="Times New Roman" w:hAnsi="Times New Roman"/>
                <w:b/>
              </w:rPr>
            </w:pPr>
            <w:r>
              <w:rPr>
                <w:rFonts w:ascii="Times New Roman" w:hAnsi="Times New Roman"/>
                <w:b/>
              </w:rPr>
              <w:t>TITLE:</w:t>
            </w:r>
            <w:r w:rsidR="00E07BDA">
              <w:rPr>
                <w:rFonts w:ascii="Times New Roman" w:hAnsi="Times New Roman"/>
              </w:rPr>
              <w:t xml:space="preserve">  </w:t>
            </w:r>
            <w:r w:rsidRPr="00563525" w:rsidR="00563525">
              <w:rPr>
                <w:rFonts w:ascii="Times New Roman" w:hAnsi="Times New Roman"/>
              </w:rPr>
              <w:t>Modernization of Media Regulation Initiative</w:t>
            </w:r>
            <w:r w:rsidR="00563525">
              <w:rPr>
                <w:rFonts w:ascii="Times New Roman" w:hAnsi="Times New Roman"/>
              </w:rPr>
              <w:t xml:space="preserve"> (MB Docket No. 17-105); </w:t>
            </w:r>
            <w:r w:rsidRPr="00563525" w:rsidR="00563525">
              <w:rPr>
                <w:rFonts w:ascii="Times New Roman" w:hAnsi="Times New Roman"/>
              </w:rPr>
              <w:t>Revisions to Cable Television Rate Regulations</w:t>
            </w:r>
            <w:r w:rsidR="00563525">
              <w:rPr>
                <w:rFonts w:ascii="Times New Roman" w:hAnsi="Times New Roman"/>
              </w:rPr>
              <w:t xml:space="preserve"> (MB Docket No. 02-144); </w:t>
            </w:r>
            <w:r w:rsidRPr="00563525" w:rsidR="00563525">
              <w:rPr>
                <w:rFonts w:ascii="Times New Roman" w:hAnsi="Times New Roman"/>
              </w:rPr>
              <w:t>Implementation of Sections of the Cable Television Consumer Protection and Competition Act of 1992: Rate Regulation</w:t>
            </w:r>
            <w:r w:rsidR="00563525">
              <w:rPr>
                <w:rFonts w:ascii="Times New Roman" w:hAnsi="Times New Roman"/>
              </w:rPr>
              <w:t xml:space="preserve"> (MM Docket No. 92-266, MM Docket No. 93-215); </w:t>
            </w:r>
            <w:r w:rsidRPr="00563525" w:rsidR="00563525">
              <w:rPr>
                <w:rFonts w:ascii="Times New Roman" w:hAnsi="Times New Roman"/>
              </w:rPr>
              <w:t>Adoption of Uniform Accounting System for the Provision of Regulated Cable Service</w:t>
            </w:r>
            <w:r w:rsidR="00563525">
              <w:rPr>
                <w:rFonts w:ascii="Times New Roman" w:hAnsi="Times New Roman"/>
              </w:rPr>
              <w:t xml:space="preserve"> (CS Docket No. 94-28); Cable Pricing Flexibility (CS Docket No. 96-157)</w:t>
            </w:r>
          </w:p>
          <w:p w:rsidR="00D27010" w:rsidP="004E3901">
            <w:pPr>
              <w:widowControl/>
              <w:suppressAutoHyphens/>
              <w:autoSpaceDE/>
              <w:adjustRightInd/>
              <w:spacing w:before="90" w:after="54"/>
              <w:rPr>
                <w:rFonts w:ascii="Times New Roman" w:hAnsi="Times New Roman"/>
              </w:rPr>
            </w:pPr>
            <w:r>
              <w:rPr>
                <w:rFonts w:ascii="Times New Roman" w:hAnsi="Times New Roman"/>
                <w:b/>
              </w:rPr>
              <w:t>SUMMARY:</w:t>
            </w:r>
            <w:r w:rsidRPr="001474F9">
              <w:rPr>
                <w:rFonts w:ascii="Times New Roman" w:hAnsi="Times New Roman"/>
              </w:rPr>
              <w:t xml:space="preserve">  </w:t>
            </w:r>
            <w:r w:rsidRPr="00553C24" w:rsidR="00553C24">
              <w:rPr>
                <w:rFonts w:ascii="Times New Roman" w:hAnsi="Times New Roman"/>
                <w:bCs/>
              </w:rPr>
              <w:t>The Commission will consider a Further Notice of Proposed Rulemaking and Report and Order to modernize its cable television rate regulations and update or eliminate outdated rules.</w:t>
            </w:r>
          </w:p>
          <w:p w:rsidR="00D27010" w:rsidP="004E3901">
            <w:pPr>
              <w:widowControl/>
              <w:suppressAutoHyphens/>
              <w:autoSpaceDE/>
              <w:adjustRightInd/>
              <w:spacing w:before="90" w:after="54"/>
              <w:jc w:val="both"/>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5</w:t>
            </w:r>
          </w:p>
        </w:tc>
        <w:tc>
          <w:tcPr>
            <w:tcW w:w="2880" w:type="dxa"/>
          </w:tcPr>
          <w:p w:rsidR="00D27010"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P="003C598F">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54564D">
              <w:rPr>
                <w:rFonts w:ascii="Times New Roman" w:hAnsi="Times New Roman"/>
              </w:rPr>
              <w:t>Amendment of Section 73.3613</w:t>
            </w:r>
            <w:r w:rsidR="00525B89">
              <w:rPr>
                <w:rFonts w:ascii="Times New Roman" w:hAnsi="Times New Roman"/>
              </w:rPr>
              <w:t xml:space="preserve"> of the Commission’s Rules Regarding Filing of Contracts (MB Docket No. 18-4); Modernization of Media Regulation Initiative (MB Docket No. 17-105)</w:t>
            </w:r>
          </w:p>
          <w:p w:rsidR="00D27010" w:rsidP="003C598F">
            <w:pPr>
              <w:widowControl/>
              <w:suppressAutoHyphens/>
              <w:autoSpaceDE/>
              <w:adjustRightInd/>
              <w:spacing w:before="90" w:after="54"/>
              <w:rPr>
                <w:rFonts w:ascii="Times New Roman" w:hAnsi="Times New Roman"/>
              </w:rPr>
            </w:pPr>
            <w:r>
              <w:rPr>
                <w:rFonts w:ascii="Times New Roman" w:hAnsi="Times New Roman"/>
                <w:b/>
              </w:rPr>
              <w:t>SUMMARY:</w:t>
            </w:r>
            <w:r w:rsidRPr="00DB03CD">
              <w:rPr>
                <w:rFonts w:ascii="Times New Roman" w:hAnsi="Times New Roman"/>
              </w:rPr>
              <w:t xml:space="preserve">  </w:t>
            </w:r>
            <w:r w:rsidRPr="00525B89" w:rsidR="00525B89">
              <w:rPr>
                <w:rFonts w:ascii="Times New Roman" w:hAnsi="Times New Roman"/>
              </w:rPr>
              <w:t>The Commission will consider a Report and Order eliminating the requirement that broadcast stations routinely file paper copies of contracts and other documents with the FCC.</w:t>
            </w:r>
          </w:p>
          <w:p w:rsidR="00905A2B" w:rsidP="003C598F">
            <w:pPr>
              <w:widowControl/>
              <w:suppressAutoHyphens/>
              <w:autoSpaceDE/>
              <w:adjustRightInd/>
              <w:spacing w:before="90" w:after="54"/>
              <w:rPr>
                <w:rFonts w:ascii="Times New Roman" w:hAnsi="Times New Roman"/>
                <w:b/>
              </w:rPr>
            </w:pP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r>
              <w:rPr>
                <w:rFonts w:ascii="Times New Roman" w:hAnsi="Times New Roman"/>
                <w:b/>
              </w:rPr>
              <w:t>6</w:t>
            </w:r>
          </w:p>
        </w:tc>
        <w:tc>
          <w:tcPr>
            <w:tcW w:w="2880" w:type="dxa"/>
          </w:tcPr>
          <w:p w:rsidR="00EA5EBC"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COMPETITION</w:t>
            </w:r>
          </w:p>
        </w:tc>
        <w:tc>
          <w:tcPr>
            <w:tcW w:w="5220" w:type="dxa"/>
          </w:tcPr>
          <w:p w:rsidR="00D27010" w:rsidRPr="00DB03CD"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2E681F">
              <w:rPr>
                <w:rFonts w:ascii="Times New Roman" w:hAnsi="Times New Roman"/>
              </w:rPr>
              <w:t>Regulation of Business Data Services for Rate-of-Return Local Exchange Carriers (WC Docket No. 17-144); Business Data Services in a</w:t>
            </w:r>
            <w:r w:rsidR="00CE0B3F">
              <w:rPr>
                <w:rFonts w:ascii="Times New Roman" w:hAnsi="Times New Roman"/>
              </w:rPr>
              <w:t>n</w:t>
            </w:r>
            <w:r w:rsidR="002E681F">
              <w:rPr>
                <w:rFonts w:ascii="Times New Roman" w:hAnsi="Times New Roman"/>
              </w:rPr>
              <w:t xml:space="preserve"> Internet Protocol Environment (WC Docket</w:t>
            </w:r>
            <w:r w:rsidR="0035241F">
              <w:rPr>
                <w:rFonts w:ascii="Times New Roman" w:hAnsi="Times New Roman"/>
              </w:rPr>
              <w:t xml:space="preserve"> No.</w:t>
            </w:r>
            <w:r w:rsidR="002E681F">
              <w:rPr>
                <w:rFonts w:ascii="Times New Roman" w:hAnsi="Times New Roman"/>
              </w:rPr>
              <w:t xml:space="preserve"> 16-143); Special Access for Price Cap Local Exchange Carriers (WC Docket No. 05-25)</w:t>
            </w:r>
          </w:p>
          <w:p w:rsidR="00372866"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00062173">
              <w:rPr>
                <w:rFonts w:ascii="Times New Roman" w:hAnsi="Times New Roman"/>
              </w:rPr>
              <w:t xml:space="preserve"> </w:t>
            </w:r>
            <w:r w:rsidR="00942599">
              <w:rPr>
                <w:rFonts w:ascii="Times New Roman" w:hAnsi="Times New Roman"/>
              </w:rPr>
              <w:t>T</w:t>
            </w:r>
            <w:r w:rsidRPr="00942599" w:rsidR="00942599">
              <w:rPr>
                <w:rFonts w:ascii="Times New Roman" w:hAnsi="Times New Roman"/>
              </w:rPr>
              <w:t>he Commission will consider a Report and Order that will allow rate-of-return carriers that receive fixed universal service support to elect incentive regulation for their business data services; a Further Notice of Proposed Rulemaking seeking comment on eliminating ex ante pricing regulation for lower capacity TDM services offered by rate-of-return carriers receiving fixed support; and a Second Further Notice of Proposed Rulemaking proposing to eliminate ex ante pricing regulation for TDM transport services offered by price cap carriers.</w:t>
            </w:r>
          </w:p>
          <w:p w:rsidR="008C7259" w:rsidRPr="00DB03CD" w:rsidP="00DB03CD">
            <w:pPr>
              <w:widowControl/>
              <w:suppressAutoHyphens/>
              <w:autoSpaceDE/>
              <w:adjustRightInd/>
              <w:spacing w:before="90" w:after="54"/>
              <w:rPr>
                <w:rFonts w:ascii="Times New Roman" w:hAnsi="Times New Roman"/>
              </w:rPr>
            </w:pPr>
          </w:p>
        </w:tc>
      </w:tr>
      <w:tr w:rsidTr="005959FC">
        <w:tblPrEx>
          <w:tblW w:w="9540" w:type="dxa"/>
          <w:tblInd w:w="-60" w:type="dxa"/>
          <w:tblLayout w:type="fixed"/>
          <w:tblCellMar>
            <w:left w:w="120" w:type="dxa"/>
            <w:right w:w="120" w:type="dxa"/>
          </w:tblCellMar>
          <w:tblLook w:val="0000"/>
        </w:tblPrEx>
        <w:tc>
          <w:tcPr>
            <w:tcW w:w="1440" w:type="dxa"/>
          </w:tcPr>
          <w:p w:rsidR="00BE6AD6" w:rsidP="004E3901">
            <w:pPr>
              <w:suppressAutoHyphens/>
              <w:spacing w:before="90" w:after="54"/>
              <w:jc w:val="center"/>
              <w:rPr>
                <w:rFonts w:ascii="Times New Roman" w:hAnsi="Times New Roman"/>
                <w:b/>
              </w:rPr>
            </w:pPr>
            <w:r>
              <w:rPr>
                <w:rFonts w:ascii="Times New Roman" w:hAnsi="Times New Roman"/>
                <w:b/>
              </w:rPr>
              <w:t>7</w:t>
            </w:r>
          </w:p>
        </w:tc>
        <w:tc>
          <w:tcPr>
            <w:tcW w:w="2880" w:type="dxa"/>
          </w:tcPr>
          <w:p w:rsidR="00BE6AD6" w:rsidP="003A23E4">
            <w:pPr>
              <w:widowControl/>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BE6AD6" w:rsidP="00DB03CD">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6000B9">
              <w:rPr>
                <w:rFonts w:ascii="Times New Roman" w:hAnsi="Times New Roman"/>
              </w:rPr>
              <w:t>Enforcement Bureau Action</w:t>
            </w:r>
          </w:p>
          <w:p w:rsidR="008C7259" w:rsidRPr="008410C9" w:rsidP="00DB03CD">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6000B9" w:rsidR="006000B9">
              <w:rPr>
                <w:rFonts w:ascii="Times New Roman" w:hAnsi="Times New Roman"/>
                <w:bCs/>
              </w:rPr>
              <w:t>The Commission will consider an enforcement action.</w:t>
            </w:r>
          </w:p>
        </w:tc>
      </w:tr>
      <w:tr w:rsidTr="005959FC">
        <w:tblPrEx>
          <w:tblW w:w="9540" w:type="dxa"/>
          <w:tblInd w:w="-60" w:type="dxa"/>
          <w:tblLayout w:type="fixed"/>
          <w:tblCellMar>
            <w:left w:w="120" w:type="dxa"/>
            <w:right w:w="120" w:type="dxa"/>
          </w:tblCellMar>
          <w:tblLook w:val="0000"/>
        </w:tblPrEx>
        <w:tc>
          <w:tcPr>
            <w:tcW w:w="1440" w:type="dxa"/>
          </w:tcPr>
          <w:p w:rsidR="00D27010" w:rsidP="004E3901">
            <w:pPr>
              <w:suppressAutoHyphens/>
              <w:spacing w:before="90" w:after="54"/>
              <w:jc w:val="center"/>
              <w:rPr>
                <w:rFonts w:ascii="Times New Roman" w:hAnsi="Times New Roman"/>
                <w:b/>
              </w:rPr>
            </w:pPr>
          </w:p>
        </w:tc>
        <w:tc>
          <w:tcPr>
            <w:tcW w:w="2880" w:type="dxa"/>
          </w:tcPr>
          <w:p w:rsidR="00D27010" w:rsidP="004E3901">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pPr>
              <w:widowControl/>
              <w:suppressAutoHyphens/>
              <w:autoSpaceDE/>
              <w:adjustRightInd/>
              <w:spacing w:before="90" w:after="54"/>
              <w:jc w:val="both"/>
              <w:rPr>
                <w:rFonts w:ascii="Times New Roman" w:hAnsi="Times New Roman"/>
              </w:rPr>
            </w:pPr>
          </w:p>
        </w:tc>
      </w:tr>
    </w:tbl>
    <w:p w:rsidR="005959FC" w:rsidP="005959FC">
      <w:pPr>
        <w:widowControl/>
        <w:spacing w:line="270" w:lineRule="exact"/>
        <w:jc w:val="center"/>
        <w:rPr>
          <w:rFonts w:ascii="Times New Roman" w:hAnsi="Times New Roman"/>
          <w:b/>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Pr>
          <w:rFonts w:ascii="Times New Roman" w:hAnsi="Times New Roman"/>
        </w:rPr>
        <w:t>accepted, but</w:t>
      </w:r>
      <w:r w:rsidRPr="001F071D">
        <w:rPr>
          <w:rFonts w:ascii="Times New Roman" w:hAnsi="Times New Roman"/>
        </w:rPr>
        <w:t xml:space="preserve">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default" r:id="rId4"/>
      <w:footerReference w:type="even" r:id="rId5"/>
      <w:footerReference w:type="default" r:id="rId6"/>
      <w:headerReference w:type="first" r:id="rId7"/>
      <w:footerReference w:type="first" r:id="rId8"/>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 xml:space="preserve">*The summaries listed in this notice are intended for the use of the public attending open Commission meetings. Information not summarized may also be considered at such meetings.  </w:t>
    </w:r>
    <w:r>
      <w:rPr>
        <w:sz w:val="14"/>
      </w:rPr>
      <w:t>Consequently</w:t>
    </w:r>
    <w:r>
      <w:rPr>
        <w:sz w:val="14"/>
      </w:rPr>
      <w:t xml:space="preserve"> these summaries should not be interpreted to limit the Commission's authority to consider any relevant information.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9759825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