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) 418-0506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0629" w:rsidRPr="00456A52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6A52">
              <w:rPr>
                <w:rFonts w:ascii="Times New Roman" w:hAnsi="Times New Roman"/>
                <w:b/>
                <w:sz w:val="26"/>
                <w:szCs w:val="26"/>
              </w:rPr>
              <w:t xml:space="preserve">FCC </w:t>
            </w:r>
            <w:r w:rsidR="007E1B1D">
              <w:rPr>
                <w:rFonts w:ascii="Times New Roman" w:hAnsi="Times New Roman"/>
                <w:b/>
                <w:sz w:val="26"/>
                <w:szCs w:val="26"/>
              </w:rPr>
              <w:t>PROPOSES MORE SPECTRUM FOR UNLICENSED USE</w:t>
            </w:r>
          </w:p>
          <w:p w:rsidR="006B0629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</w:rPr>
            </w:pPr>
          </w:p>
          <w:p w:rsidR="007E1B1D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WASHINGTON, </w:t>
            </w:r>
            <w:r>
              <w:rPr>
                <w:rFonts w:ascii="Times New Roman" w:hAnsi="Times New Roman"/>
                <w:sz w:val="22"/>
                <w:szCs w:val="22"/>
              </w:rPr>
              <w:t>October 23</w:t>
            </w:r>
            <w:r>
              <w:rPr>
                <w:rFonts w:ascii="Times New Roman" w:hAnsi="Times New Roman"/>
                <w:sz w:val="22"/>
                <w:szCs w:val="22"/>
              </w:rPr>
              <w:t>, 2018—</w:t>
            </w:r>
            <w:r w:rsidRPr="00456A52">
              <w:rPr>
                <w:rFonts w:ascii="Times New Roman" w:hAnsi="Times New Roman"/>
                <w:sz w:val="22"/>
                <w:szCs w:val="22"/>
              </w:rPr>
              <w:t xml:space="preserve">The Federal Communications Commission today </w:t>
            </w:r>
            <w:r w:rsidR="00714609">
              <w:rPr>
                <w:rFonts w:ascii="Times New Roman" w:hAnsi="Times New Roman"/>
                <w:sz w:val="22"/>
                <w:szCs w:val="22"/>
              </w:rPr>
              <w:t xml:space="preserve">proposed to make up to 1200 megahertz of spectrum available for use by unlicensed devices in the 6 GHz band (5.925-7.125 GHz).  </w:t>
            </w:r>
            <w:r w:rsidRPr="00714609" w:rsidR="00714609">
              <w:rPr>
                <w:rFonts w:ascii="Times New Roman" w:hAnsi="Times New Roman"/>
                <w:snapToGrid w:val="0"/>
                <w:kern w:val="28"/>
                <w:sz w:val="22"/>
              </w:rPr>
              <w:t>Unlicensed devices that employ Wi-Fi and other unlicensed standards have become indispensable for providing low-cost wireless connectivity in countless products used by American consumers</w:t>
            </w:r>
            <w:r w:rsidR="00714609">
              <w:rPr>
                <w:rFonts w:ascii="Times New Roman" w:hAnsi="Times New Roman"/>
                <w:snapToGrid w:val="0"/>
                <w:kern w:val="28"/>
                <w:sz w:val="22"/>
              </w:rPr>
              <w:t>.</w:t>
            </w:r>
            <w:r w:rsidR="004205BB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   </w:t>
            </w:r>
          </w:p>
          <w:p w:rsidR="004205BB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</w:p>
          <w:p w:rsidR="0070798B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The </w:t>
            </w:r>
            <w:r w:rsidR="00C206E2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proposed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>rules are designed to allow unlicensed devices to operate</w:t>
            </w:r>
            <w:r w:rsidR="00C16CFC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 in the 6 GHz band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 without interfering with the operation of the licensed services that </w:t>
            </w:r>
            <w:r w:rsidR="00A16A1C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will continue to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>use th</w:t>
            </w:r>
            <w:r w:rsidR="00C16CFC">
              <w:rPr>
                <w:rFonts w:ascii="Times New Roman" w:hAnsi="Times New Roman"/>
                <w:snapToGrid w:val="0"/>
                <w:kern w:val="28"/>
                <w:sz w:val="22"/>
              </w:rPr>
              <w:t>is spectrum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.  In those portions of the 6 GHz band that are heavily used by point-to-point microwave links, the </w:t>
            </w:r>
            <w:r w:rsidR="00ED4B76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Commission proposes to allow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unlicensed devices </w:t>
            </w:r>
            <w:r w:rsidR="00ED4B76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to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>operate where permitted by an automated frequency coordination system</w:t>
            </w:r>
            <w:r w:rsidR="00ED4B76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 and invites comment as to whether this is necessary for devices operated only indoors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>.  In the other portions of the band where licensed mobile services</w:t>
            </w:r>
            <w:r w:rsidR="00F94AD8">
              <w:rPr>
                <w:rFonts w:ascii="Times New Roman" w:hAnsi="Times New Roman"/>
                <w:snapToGrid w:val="0"/>
                <w:kern w:val="28"/>
                <w:sz w:val="22"/>
              </w:rPr>
              <w:t>,</w:t>
            </w:r>
            <w:r w:rsidR="00F94AD8">
              <w:t xml:space="preserve"> </w:t>
            </w:r>
            <w:r w:rsidRPr="00F94AD8" w:rsidR="00F94AD8">
              <w:rPr>
                <w:rFonts w:ascii="Times New Roman" w:hAnsi="Times New Roman"/>
                <w:snapToGrid w:val="0"/>
                <w:kern w:val="28"/>
                <w:sz w:val="22"/>
              </w:rPr>
              <w:t>such as the Broadcast Auxiliary Service and Cable Television Relay Servic</w:t>
            </w:r>
            <w:r w:rsidR="00F94AD8">
              <w:rPr>
                <w:rFonts w:ascii="Times New Roman" w:hAnsi="Times New Roman"/>
                <w:snapToGrid w:val="0"/>
                <w:kern w:val="28"/>
                <w:sz w:val="22"/>
              </w:rPr>
              <w:t>e</w:t>
            </w:r>
            <w:r w:rsidR="00310C77">
              <w:rPr>
                <w:rFonts w:ascii="Times New Roman" w:hAnsi="Times New Roman"/>
                <w:snapToGrid w:val="0"/>
                <w:kern w:val="28"/>
                <w:sz w:val="22"/>
              </w:rPr>
              <w:t>,</w:t>
            </w:r>
            <w:r w:rsidR="00F94AD8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operate, the unlicensed devices would be restricted to indoor operations at lower power.  </w:t>
            </w:r>
          </w:p>
          <w:p w:rsidR="0070798B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</w:p>
          <w:p w:rsidR="00BD19E8" w:rsidP="00F560D0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These proposed rules will allow </w:t>
            </w:r>
            <w:r w:rsidR="003D1C05"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a </w:t>
            </w:r>
            <w:r>
              <w:rPr>
                <w:rFonts w:ascii="Times New Roman" w:hAnsi="Times New Roman"/>
                <w:snapToGrid w:val="0"/>
                <w:kern w:val="28"/>
                <w:sz w:val="22"/>
              </w:rPr>
              <w:t xml:space="preserve">valuable spectrum resource to be more intensively used to benefit consumers while allowing the existing licensed uses of the 6 GHz band to continue uninterrupted.    </w:t>
            </w:r>
          </w:p>
          <w:p w:rsidR="007D16A2" w:rsidP="00F560D0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</w:p>
          <w:p w:rsidR="007D16A2" w:rsidRPr="007D16A2" w:rsidP="007D16A2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  <w:r w:rsidRPr="007D16A2">
              <w:rPr>
                <w:rFonts w:ascii="Times New Roman" w:hAnsi="Times New Roman"/>
                <w:snapToGrid w:val="0"/>
                <w:kern w:val="28"/>
                <w:sz w:val="22"/>
              </w:rPr>
              <w:t>Action by the Commission October 23, 2018 by Notice of Proposed Rulemaking (FCC 18-147).  Chairman Pai, Commissioners O’Rielly, Carr, and Rosenworcel approving and issuing separate statements.</w:t>
            </w:r>
          </w:p>
          <w:p w:rsidR="007D16A2" w:rsidRPr="007D16A2" w:rsidP="007D16A2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</w:p>
          <w:p w:rsidR="007D16A2" w:rsidP="007D16A2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napToGrid w:val="0"/>
                <w:kern w:val="28"/>
                <w:sz w:val="22"/>
              </w:rPr>
            </w:pPr>
            <w:r w:rsidRPr="007D16A2">
              <w:rPr>
                <w:rFonts w:ascii="Times New Roman" w:hAnsi="Times New Roman"/>
                <w:snapToGrid w:val="0"/>
                <w:kern w:val="28"/>
                <w:sz w:val="22"/>
              </w:rPr>
              <w:t>ET Docket No. 18-295; GN Docket No. 17-183</w:t>
            </w:r>
          </w:p>
          <w:p w:rsidR="00F560D0" w:rsidRPr="00F560D0" w:rsidP="00F560D0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6B062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B06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C3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