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B31128" w:rsidRPr="00B311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Rate-of-Return </w:t>
      </w:r>
      <w:r w:rsidR="0049410F">
        <w:rPr>
          <w:rFonts w:ascii="Times New Roman" w:hAnsi="Times New Roman" w:cs="Times New Roman"/>
          <w:b/>
          <w:sz w:val="28"/>
        </w:rPr>
        <w:t>Study A</w:t>
      </w:r>
      <w:r w:rsidRPr="00B31128">
        <w:rPr>
          <w:rFonts w:ascii="Times New Roman" w:hAnsi="Times New Roman" w:cs="Times New Roman"/>
          <w:b/>
          <w:sz w:val="28"/>
        </w:rPr>
        <w:t xml:space="preserve">reas </w:t>
      </w:r>
      <w:r w:rsidR="0049410F">
        <w:rPr>
          <w:rFonts w:ascii="Times New Roman" w:hAnsi="Times New Roman" w:cs="Times New Roman"/>
          <w:b/>
          <w:sz w:val="28"/>
        </w:rPr>
        <w:t>Deemed Competitive</w:t>
      </w:r>
    </w:p>
    <w:tbl>
      <w:tblPr>
        <w:tblW w:w="5496" w:type="dxa"/>
        <w:tblLook w:val="04A0"/>
      </w:tblPr>
      <w:tblGrid>
        <w:gridCol w:w="1710"/>
        <w:gridCol w:w="3150"/>
        <w:gridCol w:w="816"/>
      </w:tblGrid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Carrier type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Holding company name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Hanson Communications,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300659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Horizon Telcom,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300597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Magna5 Holdings, LLC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110037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MBS Holdings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150135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Otelco</w:t>
            </w: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100020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Otelco</w:t>
            </w: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100022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Otelco</w:t>
            </w: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110036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 and Data Systems,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150114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 and Data Systems,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290559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 and Data Systems,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300613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 and Data Systems,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330856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 and Data Systems,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330881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A-CAM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 and Data Systems,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330952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RoR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Communications,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100015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RoR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Communications,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150073</w:t>
            </w:r>
          </w:p>
        </w:tc>
      </w:tr>
      <w:tr w:rsidTr="00E21CB6">
        <w:tblPrEx>
          <w:tblW w:w="5496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RoR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Communications, Inc.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8" w:rsidRPr="00B31128" w:rsidP="00B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128">
              <w:rPr>
                <w:rFonts w:ascii="Times New Roman" w:eastAsia="Times New Roman" w:hAnsi="Times New Roman" w:cs="Times New Roman"/>
                <w:sz w:val="20"/>
                <w:szCs w:val="20"/>
              </w:rPr>
              <w:t>300618</w:t>
            </w:r>
          </w:p>
        </w:tc>
      </w:tr>
    </w:tbl>
    <w:p w:rsidR="00B31128"/>
    <w:p w:rsidR="00B31128">
      <w:bookmarkStart w:id="0" w:name="_GoBack"/>
      <w:bookmarkEnd w:id="0"/>
    </w:p>
    <w:sectPr w:rsidSect="00B31128">
      <w:headerReference w:type="default" r:id="rId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4BD6" w:rsidRPr="00B923FB" w:rsidP="00C34BD6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 w:rsidRPr="00B923FB">
      <w:rPr>
        <w:rFonts w:ascii="Times New Roman" w:hAnsi="Times New Roman" w:cs="Times New Roman"/>
        <w:i/>
        <w:sz w:val="16"/>
        <w:szCs w:val="16"/>
      </w:rPr>
      <w:t>Rate-of-Return Study Areas Deemed Competitive</w:t>
    </w:r>
  </w:p>
  <w:p w:rsidR="00C34BD6" w:rsidRPr="00B923FB" w:rsidP="00C34BD6">
    <w:pPr>
      <w:spacing w:line="240" w:lineRule="auto"/>
      <w:rPr>
        <w:rFonts w:ascii="Times New Roman" w:hAnsi="Times New Roman" w:cs="Times New Roman"/>
        <w:i/>
        <w:sz w:val="16"/>
        <w:szCs w:val="16"/>
      </w:rPr>
    </w:pPr>
    <w:r w:rsidRPr="00B923FB">
      <w:rPr>
        <w:rFonts w:ascii="Times New Roman" w:hAnsi="Times New Roman" w:cs="Times New Roman"/>
        <w:i/>
        <w:sz w:val="16"/>
        <w:szCs w:val="16"/>
      </w:rPr>
      <w:t>Oct. 2018</w:t>
    </w:r>
  </w:p>
  <w:p w:rsidR="00C34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D6"/>
  </w:style>
  <w:style w:type="paragraph" w:styleId="Footer">
    <w:name w:val="footer"/>
    <w:basedOn w:val="Normal"/>
    <w:link w:val="FooterChar"/>
    <w:uiPriority w:val="99"/>
    <w:unhideWhenUsed/>
    <w:rsid w:val="00C3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