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5733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Cecilia Sulhoff</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587</w:t>
            </w:r>
          </w:p>
          <w:p w:rsidR="00FF232D" w:rsidRPr="008A3940" w:rsidP="00BB4E29">
            <w:pPr>
              <w:rPr>
                <w:bCs/>
                <w:sz w:val="22"/>
                <w:szCs w:val="22"/>
              </w:rPr>
            </w:pPr>
            <w:r>
              <w:rPr>
                <w:bCs/>
                <w:sz w:val="22"/>
                <w:szCs w:val="22"/>
              </w:rPr>
              <w:t>c</w:t>
            </w:r>
            <w:r w:rsidR="00AA1173">
              <w:rPr>
                <w:bCs/>
                <w:sz w:val="22"/>
                <w:szCs w:val="22"/>
              </w:rPr>
              <w:t>ecilia.sulhoff</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FF7CEF" w:rsidP="005E4424">
            <w:pPr>
              <w:tabs>
                <w:tab w:val="left" w:pos="8625"/>
              </w:tabs>
              <w:jc w:val="center"/>
              <w:rPr>
                <w:b/>
                <w:bCs/>
                <w:sz w:val="26"/>
                <w:szCs w:val="26"/>
              </w:rPr>
            </w:pPr>
            <w:bookmarkStart w:id="0" w:name="_GoBack"/>
            <w:r>
              <w:rPr>
                <w:b/>
                <w:bCs/>
                <w:sz w:val="26"/>
                <w:szCs w:val="26"/>
              </w:rPr>
              <w:t xml:space="preserve">FCC </w:t>
            </w:r>
            <w:r w:rsidR="005E4424">
              <w:rPr>
                <w:b/>
                <w:bCs/>
                <w:sz w:val="26"/>
                <w:szCs w:val="26"/>
              </w:rPr>
              <w:t>TAKES ACTION TO ENCOURAGE INCREASED INVESTMENT AND DEPLOYMENT IN THE 3.5 GHz BAND</w:t>
            </w:r>
          </w:p>
          <w:p w:rsidR="003A4464" w:rsidP="003A4464">
            <w:pPr>
              <w:tabs>
                <w:tab w:val="left" w:pos="8625"/>
              </w:tabs>
              <w:jc w:val="center"/>
              <w:rPr>
                <w:b/>
                <w:bCs/>
                <w:sz w:val="26"/>
                <w:szCs w:val="26"/>
              </w:rPr>
            </w:pPr>
          </w:p>
          <w:p w:rsidR="00850E26" w:rsidP="00040127">
            <w:pPr>
              <w:tabs>
                <w:tab w:val="left" w:pos="8640"/>
              </w:tabs>
              <w:rPr>
                <w:sz w:val="22"/>
                <w:szCs w:val="22"/>
              </w:rPr>
            </w:pPr>
            <w:bookmarkEnd w:id="0"/>
            <w:r w:rsidRPr="008A3940">
              <w:rPr>
                <w:sz w:val="22"/>
                <w:szCs w:val="22"/>
              </w:rPr>
              <w:t xml:space="preserve">WASHINGTON, </w:t>
            </w:r>
            <w:r w:rsidR="00006F07">
              <w:rPr>
                <w:sz w:val="22"/>
                <w:szCs w:val="22"/>
              </w:rPr>
              <w:t>October 23</w:t>
            </w:r>
            <w:r w:rsidR="00065E2D">
              <w:rPr>
                <w:sz w:val="22"/>
                <w:szCs w:val="22"/>
              </w:rPr>
              <w:t>, 2018</w:t>
            </w:r>
            <w:r w:rsidR="00D861EE">
              <w:rPr>
                <w:sz w:val="22"/>
                <w:szCs w:val="22"/>
              </w:rPr>
              <w:t>—</w:t>
            </w:r>
            <w:r w:rsidR="009F1114">
              <w:rPr>
                <w:sz w:val="22"/>
                <w:szCs w:val="22"/>
              </w:rPr>
              <w:t>Today, t</w:t>
            </w:r>
            <w:r w:rsidRPr="000E049E" w:rsidR="000E049E">
              <w:rPr>
                <w:sz w:val="22"/>
                <w:szCs w:val="22"/>
              </w:rPr>
              <w:t xml:space="preserve">he Federal Communications Commission </w:t>
            </w:r>
            <w:r w:rsidR="00FF7CEF">
              <w:rPr>
                <w:sz w:val="22"/>
                <w:szCs w:val="22"/>
              </w:rPr>
              <w:t xml:space="preserve">adopted </w:t>
            </w:r>
            <w:r w:rsidR="00F56AA0">
              <w:rPr>
                <w:sz w:val="22"/>
                <w:szCs w:val="22"/>
              </w:rPr>
              <w:t>a Report and Order that makes modifications to the rules governing the Citizens Broadband Radio Service in the 3.5 GHz band.</w:t>
            </w:r>
            <w:r w:rsidR="00A7662F">
              <w:rPr>
                <w:sz w:val="22"/>
                <w:szCs w:val="22"/>
              </w:rPr>
              <w:t xml:space="preserve">  This action</w:t>
            </w:r>
            <w:r w:rsidR="009F1114">
              <w:rPr>
                <w:sz w:val="22"/>
                <w:szCs w:val="22"/>
              </w:rPr>
              <w:t xml:space="preserve"> will </w:t>
            </w:r>
            <w:r w:rsidR="00A7662F">
              <w:rPr>
                <w:sz w:val="22"/>
                <w:szCs w:val="22"/>
              </w:rPr>
              <w:t>promote additional investment and encourage broader deployment in the band, ensure that our rules for this service keep up with technological advancements, and help to maintain U.S. leadership in the deployment of next-generation services</w:t>
            </w:r>
            <w:r w:rsidR="00894F97">
              <w:rPr>
                <w:sz w:val="22"/>
                <w:szCs w:val="22"/>
              </w:rPr>
              <w:t>, including 5G</w:t>
            </w:r>
            <w:r w:rsidR="00A7662F">
              <w:rPr>
                <w:sz w:val="22"/>
                <w:szCs w:val="22"/>
              </w:rPr>
              <w:t>.</w:t>
            </w:r>
          </w:p>
          <w:p w:rsidR="00A7662F" w:rsidRPr="00FF7CEF" w:rsidP="00040127">
            <w:pPr>
              <w:tabs>
                <w:tab w:val="left" w:pos="8640"/>
              </w:tabs>
              <w:rPr>
                <w:sz w:val="22"/>
                <w:szCs w:val="22"/>
              </w:rPr>
            </w:pPr>
          </w:p>
          <w:p w:rsidR="00894F97" w:rsidP="00040127">
            <w:pPr>
              <w:tabs>
                <w:tab w:val="left" w:pos="8640"/>
              </w:tabs>
              <w:rPr>
                <w:sz w:val="22"/>
                <w:szCs w:val="22"/>
              </w:rPr>
            </w:pPr>
            <w:r>
              <w:rPr>
                <w:sz w:val="22"/>
                <w:szCs w:val="22"/>
              </w:rPr>
              <w:t xml:space="preserve">The Commission established rules in 2015 </w:t>
            </w:r>
            <w:r w:rsidR="00C65BCC">
              <w:rPr>
                <w:sz w:val="22"/>
                <w:szCs w:val="22"/>
              </w:rPr>
              <w:t xml:space="preserve">to </w:t>
            </w:r>
            <w:r>
              <w:rPr>
                <w:sz w:val="22"/>
                <w:szCs w:val="22"/>
              </w:rPr>
              <w:t>facilitate shared access between federal and non-federal use of the 3.5 GHz band</w:t>
            </w:r>
            <w:r w:rsidR="00C65BCC">
              <w:rPr>
                <w:sz w:val="22"/>
                <w:szCs w:val="22"/>
              </w:rPr>
              <w:t>.  It</w:t>
            </w:r>
            <w:r>
              <w:rPr>
                <w:sz w:val="22"/>
                <w:szCs w:val="22"/>
              </w:rPr>
              <w:t xml:space="preserve"> creat</w:t>
            </w:r>
            <w:r w:rsidR="00C65BCC">
              <w:rPr>
                <w:sz w:val="22"/>
                <w:szCs w:val="22"/>
              </w:rPr>
              <w:t>ed</w:t>
            </w:r>
            <w:r>
              <w:rPr>
                <w:sz w:val="22"/>
                <w:szCs w:val="22"/>
              </w:rPr>
              <w:t xml:space="preserve"> a three-tiered framework of users consisting of Incumbent</w:t>
            </w:r>
            <w:r w:rsidR="00652490">
              <w:rPr>
                <w:sz w:val="22"/>
                <w:szCs w:val="22"/>
              </w:rPr>
              <w:t>s</w:t>
            </w:r>
            <w:r>
              <w:rPr>
                <w:sz w:val="22"/>
                <w:szCs w:val="22"/>
              </w:rPr>
              <w:t xml:space="preserve">, Priority Access Licenses (PALs), and General Authorized Access (GAA) users.  </w:t>
            </w:r>
          </w:p>
          <w:p w:rsidR="00894F97" w:rsidP="00040127">
            <w:pPr>
              <w:tabs>
                <w:tab w:val="left" w:pos="8640"/>
              </w:tabs>
              <w:rPr>
                <w:sz w:val="22"/>
                <w:szCs w:val="22"/>
              </w:rPr>
            </w:pPr>
          </w:p>
          <w:p w:rsidR="004C6BFB" w:rsidP="00DA7B44">
            <w:pPr>
              <w:rPr>
                <w:rStyle w:val="Hyperlink"/>
                <w:color w:val="auto"/>
                <w:sz w:val="22"/>
                <w:szCs w:val="22"/>
                <w:u w:val="none"/>
              </w:rPr>
            </w:pPr>
            <w:r>
              <w:rPr>
                <w:sz w:val="22"/>
                <w:szCs w:val="22"/>
              </w:rPr>
              <w:t xml:space="preserve">Today, the </w:t>
            </w:r>
            <w:r w:rsidR="00C65BCC">
              <w:rPr>
                <w:sz w:val="22"/>
                <w:szCs w:val="22"/>
              </w:rPr>
              <w:t xml:space="preserve">Commission leaves that core sharing framework in place, and makes targeted </w:t>
            </w:r>
            <w:r>
              <w:rPr>
                <w:sz w:val="22"/>
                <w:szCs w:val="22"/>
              </w:rPr>
              <w:t>update</w:t>
            </w:r>
            <w:r w:rsidR="00C65BCC">
              <w:rPr>
                <w:sz w:val="22"/>
                <w:szCs w:val="22"/>
              </w:rPr>
              <w:t>s</w:t>
            </w:r>
            <w:r>
              <w:rPr>
                <w:sz w:val="22"/>
                <w:szCs w:val="22"/>
              </w:rPr>
              <w:t xml:space="preserve"> </w:t>
            </w:r>
            <w:r w:rsidR="00C65BCC">
              <w:rPr>
                <w:sz w:val="22"/>
                <w:szCs w:val="22"/>
              </w:rPr>
              <w:t xml:space="preserve">to </w:t>
            </w:r>
            <w:r>
              <w:rPr>
                <w:sz w:val="22"/>
                <w:szCs w:val="22"/>
              </w:rPr>
              <w:t xml:space="preserve">the licensing and technical rules </w:t>
            </w:r>
            <w:r w:rsidR="005D2097">
              <w:rPr>
                <w:sz w:val="22"/>
                <w:szCs w:val="22"/>
              </w:rPr>
              <w:t>that will encourage more efficient and intensive use of the band</w:t>
            </w:r>
            <w:r>
              <w:rPr>
                <w:sz w:val="22"/>
                <w:szCs w:val="22"/>
              </w:rPr>
              <w:t>.</w:t>
            </w:r>
            <w:r w:rsidR="00894F97">
              <w:rPr>
                <w:sz w:val="22"/>
                <w:szCs w:val="22"/>
              </w:rPr>
              <w:t xml:space="preserve"> </w:t>
            </w:r>
            <w:r>
              <w:rPr>
                <w:rStyle w:val="Hyperlink"/>
                <w:color w:val="auto"/>
                <w:sz w:val="22"/>
                <w:szCs w:val="22"/>
                <w:u w:val="none"/>
              </w:rPr>
              <w:t>Specifically, the Order:</w:t>
            </w:r>
          </w:p>
          <w:p w:rsidR="00894F97" w:rsidP="00DA7B44">
            <w:pPr>
              <w:rPr>
                <w:rStyle w:val="Hyperlink"/>
                <w:color w:val="auto"/>
                <w:sz w:val="22"/>
                <w:szCs w:val="22"/>
                <w:u w:val="none"/>
              </w:rPr>
            </w:pPr>
          </w:p>
          <w:p w:rsidR="00F56AA0" w:rsidRPr="00F56AA0" w:rsidP="00F56AA0">
            <w:pPr>
              <w:pStyle w:val="ListParagraph"/>
              <w:numPr>
                <w:ilvl w:val="0"/>
                <w:numId w:val="8"/>
              </w:numPr>
              <w:rPr>
                <w:rStyle w:val="Hyperlink"/>
                <w:color w:val="auto"/>
                <w:sz w:val="22"/>
                <w:szCs w:val="22"/>
                <w:u w:val="none"/>
              </w:rPr>
            </w:pPr>
            <w:r>
              <w:rPr>
                <w:rStyle w:val="Hyperlink"/>
                <w:color w:val="auto"/>
                <w:sz w:val="22"/>
                <w:szCs w:val="22"/>
                <w:u w:val="none"/>
              </w:rPr>
              <w:t>Changes</w:t>
            </w:r>
            <w:r w:rsidRPr="00F56AA0">
              <w:rPr>
                <w:rStyle w:val="Hyperlink"/>
                <w:color w:val="auto"/>
                <w:sz w:val="22"/>
                <w:szCs w:val="22"/>
                <w:u w:val="none"/>
              </w:rPr>
              <w:t xml:space="preserve"> </w:t>
            </w:r>
            <w:r w:rsidRPr="00F56AA0">
              <w:rPr>
                <w:rStyle w:val="Hyperlink"/>
                <w:color w:val="auto"/>
                <w:sz w:val="22"/>
                <w:szCs w:val="22"/>
                <w:u w:val="none"/>
              </w:rPr>
              <w:t>the size of PAL license areas from census tracts to counties</w:t>
            </w:r>
            <w:r w:rsidR="00894F97">
              <w:rPr>
                <w:rStyle w:val="Hyperlink"/>
                <w:color w:val="auto"/>
                <w:sz w:val="22"/>
                <w:szCs w:val="22"/>
                <w:u w:val="none"/>
              </w:rPr>
              <w:t>;</w:t>
            </w:r>
          </w:p>
          <w:p w:rsidR="00F56AA0" w:rsidP="00F56AA0">
            <w:pPr>
              <w:pStyle w:val="ListParagraph"/>
              <w:numPr>
                <w:ilvl w:val="0"/>
                <w:numId w:val="8"/>
              </w:numPr>
              <w:rPr>
                <w:rStyle w:val="Hyperlink"/>
                <w:color w:val="auto"/>
                <w:sz w:val="22"/>
                <w:szCs w:val="22"/>
                <w:u w:val="none"/>
              </w:rPr>
            </w:pPr>
            <w:r>
              <w:rPr>
                <w:rStyle w:val="Hyperlink"/>
                <w:color w:val="auto"/>
                <w:sz w:val="22"/>
                <w:szCs w:val="22"/>
                <w:u w:val="none"/>
              </w:rPr>
              <w:t>Extends the PAL license term to ten years and makes these licenses renewable</w:t>
            </w:r>
            <w:r w:rsidR="00894F97">
              <w:rPr>
                <w:rStyle w:val="Hyperlink"/>
                <w:color w:val="auto"/>
                <w:sz w:val="22"/>
                <w:szCs w:val="22"/>
                <w:u w:val="none"/>
              </w:rPr>
              <w:t>;</w:t>
            </w:r>
          </w:p>
          <w:p w:rsidR="00F56AA0" w:rsidP="00F56AA0">
            <w:pPr>
              <w:pStyle w:val="ListParagraph"/>
              <w:numPr>
                <w:ilvl w:val="0"/>
                <w:numId w:val="8"/>
              </w:numPr>
              <w:rPr>
                <w:rStyle w:val="Hyperlink"/>
                <w:color w:val="auto"/>
                <w:sz w:val="22"/>
                <w:szCs w:val="22"/>
                <w:u w:val="none"/>
              </w:rPr>
            </w:pPr>
            <w:r>
              <w:rPr>
                <w:rStyle w:val="Hyperlink"/>
                <w:color w:val="auto"/>
                <w:sz w:val="22"/>
                <w:szCs w:val="22"/>
                <w:u w:val="none"/>
              </w:rPr>
              <w:t>Establishes end-of-term performance requirements</w:t>
            </w:r>
            <w:r w:rsidR="00894F97">
              <w:rPr>
                <w:rStyle w:val="Hyperlink"/>
                <w:color w:val="auto"/>
                <w:sz w:val="22"/>
                <w:szCs w:val="22"/>
                <w:u w:val="none"/>
              </w:rPr>
              <w:t>;</w:t>
            </w:r>
          </w:p>
          <w:p w:rsidR="00E310EB" w:rsidP="00F56AA0">
            <w:pPr>
              <w:pStyle w:val="ListParagraph"/>
              <w:numPr>
                <w:ilvl w:val="0"/>
                <w:numId w:val="8"/>
              </w:numPr>
              <w:rPr>
                <w:rStyle w:val="Hyperlink"/>
                <w:color w:val="auto"/>
                <w:sz w:val="22"/>
                <w:szCs w:val="22"/>
                <w:u w:val="none"/>
              </w:rPr>
            </w:pPr>
            <w:r>
              <w:rPr>
                <w:rStyle w:val="Hyperlink"/>
                <w:color w:val="auto"/>
                <w:sz w:val="22"/>
                <w:szCs w:val="22"/>
                <w:u w:val="none"/>
              </w:rPr>
              <w:t xml:space="preserve">Ensures seven PALs are available </w:t>
            </w:r>
            <w:r>
              <w:rPr>
                <w:rStyle w:val="Hyperlink"/>
                <w:color w:val="auto"/>
                <w:sz w:val="22"/>
                <w:szCs w:val="22"/>
                <w:u w:val="none"/>
              </w:rPr>
              <w:t>in each license area</w:t>
            </w:r>
            <w:r w:rsidR="00894F97">
              <w:rPr>
                <w:rStyle w:val="Hyperlink"/>
                <w:color w:val="auto"/>
                <w:sz w:val="22"/>
                <w:szCs w:val="22"/>
                <w:u w:val="none"/>
              </w:rPr>
              <w:t>;</w:t>
            </w:r>
          </w:p>
          <w:p w:rsidR="00F56AA0" w:rsidP="00F56AA0">
            <w:pPr>
              <w:pStyle w:val="ListParagraph"/>
              <w:numPr>
                <w:ilvl w:val="0"/>
                <w:numId w:val="8"/>
              </w:numPr>
              <w:rPr>
                <w:rStyle w:val="Hyperlink"/>
                <w:color w:val="auto"/>
                <w:sz w:val="22"/>
                <w:szCs w:val="22"/>
                <w:u w:val="none"/>
              </w:rPr>
            </w:pPr>
            <w:r>
              <w:rPr>
                <w:rStyle w:val="Hyperlink"/>
                <w:color w:val="auto"/>
                <w:sz w:val="22"/>
                <w:szCs w:val="22"/>
                <w:u w:val="none"/>
              </w:rPr>
              <w:t>A</w:t>
            </w:r>
            <w:r>
              <w:rPr>
                <w:rStyle w:val="Hyperlink"/>
                <w:color w:val="auto"/>
                <w:sz w:val="22"/>
                <w:szCs w:val="22"/>
                <w:u w:val="none"/>
              </w:rPr>
              <w:t>llows the use of bidding credits for rural and Tribal entities</w:t>
            </w:r>
            <w:r w:rsidR="00894F97">
              <w:rPr>
                <w:rStyle w:val="Hyperlink"/>
                <w:color w:val="auto"/>
                <w:sz w:val="22"/>
                <w:szCs w:val="22"/>
                <w:u w:val="none"/>
              </w:rPr>
              <w:t>;</w:t>
            </w:r>
          </w:p>
          <w:p w:rsidR="00F56AA0" w:rsidP="00F56AA0">
            <w:pPr>
              <w:pStyle w:val="ListParagraph"/>
              <w:numPr>
                <w:ilvl w:val="0"/>
                <w:numId w:val="8"/>
              </w:numPr>
              <w:rPr>
                <w:rStyle w:val="Hyperlink"/>
                <w:color w:val="auto"/>
                <w:sz w:val="22"/>
                <w:szCs w:val="22"/>
                <w:u w:val="none"/>
              </w:rPr>
            </w:pPr>
            <w:r>
              <w:rPr>
                <w:rStyle w:val="Hyperlink"/>
                <w:color w:val="auto"/>
                <w:sz w:val="22"/>
                <w:szCs w:val="22"/>
                <w:u w:val="none"/>
              </w:rPr>
              <w:t>Permits partitioning and disaggregation of PALs</w:t>
            </w:r>
            <w:r w:rsidR="00894F97">
              <w:rPr>
                <w:rStyle w:val="Hyperlink"/>
                <w:color w:val="auto"/>
                <w:sz w:val="22"/>
                <w:szCs w:val="22"/>
                <w:u w:val="none"/>
              </w:rPr>
              <w:t>;</w:t>
            </w:r>
          </w:p>
          <w:p w:rsidR="00F56AA0" w:rsidP="00F56AA0">
            <w:pPr>
              <w:pStyle w:val="ListParagraph"/>
              <w:numPr>
                <w:ilvl w:val="0"/>
                <w:numId w:val="8"/>
              </w:numPr>
              <w:rPr>
                <w:rStyle w:val="Hyperlink"/>
                <w:color w:val="auto"/>
                <w:sz w:val="22"/>
                <w:szCs w:val="22"/>
                <w:u w:val="none"/>
              </w:rPr>
            </w:pPr>
            <w:r>
              <w:rPr>
                <w:rStyle w:val="Hyperlink"/>
                <w:color w:val="auto"/>
                <w:sz w:val="22"/>
                <w:szCs w:val="22"/>
                <w:u w:val="none"/>
              </w:rPr>
              <w:t xml:space="preserve">Updates information security requirements to protect </w:t>
            </w:r>
            <w:r w:rsidR="00EC1916">
              <w:rPr>
                <w:rStyle w:val="Hyperlink"/>
                <w:color w:val="auto"/>
                <w:sz w:val="22"/>
                <w:szCs w:val="22"/>
                <w:u w:val="none"/>
              </w:rPr>
              <w:t>registration information</w:t>
            </w:r>
            <w:r w:rsidR="00894F97">
              <w:rPr>
                <w:rStyle w:val="Hyperlink"/>
                <w:color w:val="auto"/>
                <w:sz w:val="22"/>
                <w:szCs w:val="22"/>
                <w:u w:val="none"/>
              </w:rPr>
              <w:t>; and</w:t>
            </w:r>
          </w:p>
          <w:p w:rsidR="00F56AA0" w:rsidP="00691E2B">
            <w:pPr>
              <w:pStyle w:val="ListParagraph"/>
              <w:numPr>
                <w:ilvl w:val="0"/>
                <w:numId w:val="8"/>
              </w:numPr>
              <w:rPr>
                <w:rStyle w:val="Hyperlink"/>
                <w:color w:val="auto"/>
                <w:sz w:val="22"/>
                <w:szCs w:val="22"/>
                <w:u w:val="none"/>
              </w:rPr>
            </w:pPr>
            <w:r>
              <w:rPr>
                <w:rStyle w:val="Hyperlink"/>
                <w:color w:val="auto"/>
                <w:sz w:val="22"/>
                <w:szCs w:val="22"/>
                <w:u w:val="none"/>
              </w:rPr>
              <w:t xml:space="preserve">Facilitates transmission over wider channels </w:t>
            </w:r>
            <w:r w:rsidR="00A70F8F">
              <w:rPr>
                <w:rStyle w:val="Hyperlink"/>
                <w:color w:val="auto"/>
                <w:sz w:val="22"/>
                <w:szCs w:val="22"/>
                <w:u w:val="none"/>
              </w:rPr>
              <w:t>while maintaining protections for other services</w:t>
            </w:r>
          </w:p>
          <w:p w:rsidR="00F56AA0" w:rsidP="00673EAB">
            <w:pPr>
              <w:shd w:val="clear" w:color="auto" w:fill="FFFFFF" w:themeFill="background1"/>
              <w:rPr>
                <w:rStyle w:val="Hyperlink"/>
                <w:color w:val="auto"/>
                <w:sz w:val="22"/>
                <w:szCs w:val="22"/>
                <w:u w:val="none"/>
              </w:rPr>
            </w:pPr>
          </w:p>
          <w:p w:rsidR="00673EAB" w:rsidRPr="00673EAB" w:rsidP="00673EAB">
            <w:pPr>
              <w:shd w:val="clear" w:color="auto" w:fill="FFFFFF" w:themeFill="background1"/>
              <w:rPr>
                <w:sz w:val="22"/>
                <w:szCs w:val="22"/>
              </w:rPr>
            </w:pPr>
            <w:r w:rsidRPr="00673EAB">
              <w:rPr>
                <w:sz w:val="22"/>
                <w:szCs w:val="22"/>
              </w:rPr>
              <w:t xml:space="preserve">Action by the Commission October 23, 2018 by Report and Order (FCC 18-149).  </w:t>
            </w:r>
            <w:r w:rsidRPr="00673EAB">
              <w:rPr>
                <w:sz w:val="22"/>
                <w:szCs w:val="22"/>
                <w:shd w:val="clear" w:color="auto" w:fill="FFFFFF" w:themeFill="background1"/>
              </w:rPr>
              <w:t>Chairman Pai, Commissioners O’Rielly, and Carr approving.  Commissioner Rosenworcel dissenting.  Chairman Pai, Commissioners O’Rielly, Carr, and Rosenworcel issuing separate statements.</w:t>
            </w:r>
          </w:p>
          <w:p w:rsidR="00673EAB" w:rsidRPr="00673EAB" w:rsidP="00673EAB">
            <w:pPr>
              <w:shd w:val="clear" w:color="auto" w:fill="FFFFFF" w:themeFill="background1"/>
              <w:rPr>
                <w:sz w:val="22"/>
                <w:szCs w:val="22"/>
              </w:rPr>
            </w:pPr>
          </w:p>
          <w:p w:rsidR="00673EAB" w:rsidRPr="00673EAB" w:rsidP="00673EAB">
            <w:pPr>
              <w:shd w:val="clear" w:color="auto" w:fill="FFFFFF" w:themeFill="background1"/>
              <w:rPr>
                <w:sz w:val="22"/>
                <w:szCs w:val="22"/>
              </w:rPr>
            </w:pPr>
            <w:r w:rsidRPr="00673EAB">
              <w:rPr>
                <w:sz w:val="22"/>
                <w:szCs w:val="22"/>
              </w:rPr>
              <w:t>GN Docket No. 17-258</w:t>
            </w:r>
          </w:p>
          <w:p w:rsidR="00673EAB" w:rsidRPr="00FF7CEF"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P="00850E26">
            <w:pPr>
              <w:ind w:right="72"/>
              <w:jc w:val="center"/>
              <w:rPr>
                <w:rStyle w:val="Hyperlink"/>
                <w:b/>
                <w:bCs/>
                <w:color w:val="auto"/>
                <w:sz w:val="18"/>
                <w:szCs w:val="18"/>
              </w:rPr>
            </w:pPr>
            <w:r w:rsidRPr="00850E26">
              <w:rPr>
                <w:b/>
                <w:bCs/>
                <w:sz w:val="18"/>
                <w:szCs w:val="18"/>
              </w:rPr>
              <w:t>www.fcc.gov/office-media-relations</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headerReference w:type="even" r:id="rId5"/>
      <w:headerReference w:type="default" r:id="rId6"/>
      <w:footerReference w:type="even" r:id="rId7"/>
      <w:footerReference w:type="default" r:id="rId8"/>
      <w:headerReference w:type="first" r:id="rId9"/>
      <w:footerReference w:type="first" r:id="rId1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D970568"/>
    <w:multiLevelType w:val="hybridMultilevel"/>
    <w:tmpl w:val="B11275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59D33621"/>
    <w:multiLevelType w:val="hybridMultilevel"/>
    <w:tmpl w:val="643E13A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1A50F6B4"/>
    <w:lvl w:ilvl="0">
      <w:start w:val="1"/>
      <w:numFmt w:val="decimal"/>
      <w:pStyle w:val="ParaNum"/>
      <w:lvlText w:val="%1."/>
      <w:lvlJc w:val="left"/>
      <w:pPr>
        <w:tabs>
          <w:tab w:val="num" w:pos="1080"/>
        </w:tabs>
        <w:ind w:left="0" w:firstLine="720"/>
      </w:pPr>
    </w:lvl>
  </w:abstractNum>
  <w:abstractNum w:abstractNumId="4">
    <w:nsid w:val="71923CDD"/>
    <w:multiLevelType w:val="hybridMultilevel"/>
    <w:tmpl w:val="44829C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4C6BFB"/>
    <w:pPr>
      <w:ind w:left="720"/>
      <w:contextualSpacing/>
    </w:pPr>
  </w:style>
  <w:style w:type="character" w:customStyle="1" w:styleId="ParaNumChar">
    <w:name w:val="ParaNum Char"/>
    <w:link w:val="ParaNum"/>
    <w:locked/>
    <w:rsid w:val="001902C4"/>
    <w:rPr>
      <w:kern w:val="28"/>
      <w:sz w:val="22"/>
    </w:rPr>
  </w:style>
  <w:style w:type="paragraph" w:customStyle="1" w:styleId="ParaNum">
    <w:name w:val="ParaNum"/>
    <w:basedOn w:val="Normal"/>
    <w:link w:val="ParaNumChar"/>
    <w:rsid w:val="001902C4"/>
    <w:pPr>
      <w:widowControl w:val="0"/>
      <w:numPr>
        <w:numId w:val="3"/>
      </w:numPr>
      <w:snapToGrid w:val="0"/>
      <w:spacing w:after="120"/>
    </w:pPr>
    <w:rPr>
      <w:kern w:val="28"/>
      <w:sz w:val="22"/>
      <w:szCs w:val="20"/>
    </w:rPr>
  </w:style>
  <w:style w:type="paragraph" w:styleId="BalloonText">
    <w:name w:val="Balloon Text"/>
    <w:basedOn w:val="Normal"/>
    <w:link w:val="BalloonTextChar"/>
    <w:semiHidden/>
    <w:unhideWhenUsed/>
    <w:rsid w:val="00D15180"/>
    <w:rPr>
      <w:rFonts w:ascii="Segoe UI" w:hAnsi="Segoe UI" w:cs="Segoe UI"/>
      <w:sz w:val="18"/>
      <w:szCs w:val="18"/>
    </w:rPr>
  </w:style>
  <w:style w:type="character" w:customStyle="1" w:styleId="BalloonTextChar">
    <w:name w:val="Balloon Text Char"/>
    <w:basedOn w:val="DefaultParagraphFont"/>
    <w:link w:val="BalloonText"/>
    <w:semiHidden/>
    <w:rsid w:val="00D15180"/>
    <w:rPr>
      <w:rFonts w:ascii="Segoe UI" w:hAnsi="Segoe UI" w:cs="Segoe UI"/>
      <w:sz w:val="18"/>
      <w:szCs w:val="18"/>
    </w:rPr>
  </w:style>
  <w:style w:type="paragraph" w:styleId="Header">
    <w:name w:val="header"/>
    <w:basedOn w:val="Normal"/>
    <w:link w:val="HeaderChar"/>
    <w:unhideWhenUsed/>
    <w:rsid w:val="00D02D6D"/>
    <w:pPr>
      <w:tabs>
        <w:tab w:val="center" w:pos="4680"/>
        <w:tab w:val="right" w:pos="9360"/>
      </w:tabs>
    </w:pPr>
  </w:style>
  <w:style w:type="character" w:customStyle="1" w:styleId="HeaderChar">
    <w:name w:val="Header Char"/>
    <w:basedOn w:val="DefaultParagraphFont"/>
    <w:link w:val="Header"/>
    <w:rsid w:val="00D02D6D"/>
    <w:rPr>
      <w:sz w:val="24"/>
      <w:szCs w:val="24"/>
    </w:rPr>
  </w:style>
  <w:style w:type="paragraph" w:styleId="Footer">
    <w:name w:val="footer"/>
    <w:basedOn w:val="Normal"/>
    <w:link w:val="FooterChar"/>
    <w:unhideWhenUsed/>
    <w:rsid w:val="00D02D6D"/>
    <w:pPr>
      <w:tabs>
        <w:tab w:val="center" w:pos="4680"/>
        <w:tab w:val="right" w:pos="9360"/>
      </w:tabs>
    </w:pPr>
  </w:style>
  <w:style w:type="character" w:customStyle="1" w:styleId="FooterChar">
    <w:name w:val="Footer Char"/>
    <w:basedOn w:val="DefaultParagraphFont"/>
    <w:link w:val="Footer"/>
    <w:rsid w:val="00D02D6D"/>
    <w:rPr>
      <w:sz w:val="24"/>
      <w:szCs w:val="24"/>
    </w:rPr>
  </w:style>
  <w:style w:type="character" w:styleId="CommentReference">
    <w:name w:val="annotation reference"/>
    <w:basedOn w:val="DefaultParagraphFont"/>
    <w:semiHidden/>
    <w:unhideWhenUsed/>
    <w:rsid w:val="0024302E"/>
    <w:rPr>
      <w:sz w:val="16"/>
      <w:szCs w:val="16"/>
    </w:rPr>
  </w:style>
  <w:style w:type="paragraph" w:styleId="CommentText">
    <w:name w:val="annotation text"/>
    <w:basedOn w:val="Normal"/>
    <w:link w:val="CommentTextChar"/>
    <w:semiHidden/>
    <w:unhideWhenUsed/>
    <w:rsid w:val="0024302E"/>
    <w:rPr>
      <w:sz w:val="20"/>
      <w:szCs w:val="20"/>
    </w:rPr>
  </w:style>
  <w:style w:type="character" w:customStyle="1" w:styleId="CommentTextChar">
    <w:name w:val="Comment Text Char"/>
    <w:basedOn w:val="DefaultParagraphFont"/>
    <w:link w:val="CommentText"/>
    <w:semiHidden/>
    <w:rsid w:val="0024302E"/>
  </w:style>
  <w:style w:type="paragraph" w:styleId="CommentSubject">
    <w:name w:val="annotation subject"/>
    <w:basedOn w:val="CommentText"/>
    <w:next w:val="CommentText"/>
    <w:link w:val="CommentSubjectChar"/>
    <w:semiHidden/>
    <w:unhideWhenUsed/>
    <w:rsid w:val="0024302E"/>
    <w:rPr>
      <w:b/>
      <w:bCs/>
    </w:rPr>
  </w:style>
  <w:style w:type="character" w:customStyle="1" w:styleId="CommentSubjectChar">
    <w:name w:val="Comment Subject Char"/>
    <w:basedOn w:val="CommentTextChar"/>
    <w:link w:val="CommentSubject"/>
    <w:semiHidden/>
    <w:rsid w:val="00243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