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196313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90CB2">
              <w:rPr>
                <w:b/>
                <w:bCs/>
                <w:sz w:val="26"/>
                <w:szCs w:val="26"/>
              </w:rPr>
              <w:t>ADVANCES DELIVERY OF MODERN BUSINESS DATA SERVICES IN RURAL AMERICA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85F91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46A5">
              <w:rPr>
                <w:sz w:val="22"/>
                <w:szCs w:val="22"/>
              </w:rPr>
              <w:t xml:space="preserve">WASHINGTON, </w:t>
            </w:r>
            <w:r w:rsidRPr="008446A5" w:rsidR="00860D0D">
              <w:rPr>
                <w:sz w:val="22"/>
                <w:szCs w:val="22"/>
              </w:rPr>
              <w:t>October 23</w:t>
            </w:r>
            <w:r w:rsidRPr="008446A5" w:rsidR="00065E2D">
              <w:rPr>
                <w:sz w:val="22"/>
                <w:szCs w:val="22"/>
              </w:rPr>
              <w:t>, 2018</w:t>
            </w:r>
            <w:r w:rsidRPr="008446A5" w:rsidR="00D861EE">
              <w:rPr>
                <w:sz w:val="22"/>
                <w:szCs w:val="22"/>
              </w:rPr>
              <w:t>—</w:t>
            </w:r>
            <w:r w:rsidRPr="008446A5">
              <w:rPr>
                <w:sz w:val="22"/>
                <w:szCs w:val="22"/>
              </w:rPr>
              <w:t xml:space="preserve">The FCC today took steps to advance the delivery of </w:t>
            </w:r>
            <w:r w:rsidRPr="008446A5" w:rsidR="00390CB2">
              <w:rPr>
                <w:sz w:val="22"/>
                <w:szCs w:val="22"/>
              </w:rPr>
              <w:t>modern</w:t>
            </w:r>
            <w:r w:rsidRPr="008446A5">
              <w:rPr>
                <w:sz w:val="22"/>
                <w:szCs w:val="22"/>
              </w:rPr>
              <w:t>, competitive business data services in rural areas.</w:t>
            </w:r>
          </w:p>
          <w:p w:rsidR="00185F91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558E4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46A5">
              <w:rPr>
                <w:sz w:val="22"/>
                <w:szCs w:val="22"/>
              </w:rPr>
              <w:t xml:space="preserve">Building on earlier efforts to </w:t>
            </w:r>
            <w:r w:rsidR="00D82E11">
              <w:rPr>
                <w:sz w:val="22"/>
                <w:szCs w:val="22"/>
              </w:rPr>
              <w:t xml:space="preserve">promote </w:t>
            </w:r>
            <w:r w:rsidRPr="008446A5">
              <w:rPr>
                <w:sz w:val="22"/>
                <w:szCs w:val="22"/>
              </w:rPr>
              <w:t>efficiency</w:t>
            </w:r>
            <w:r w:rsidRPr="008446A5" w:rsidR="003B4D30">
              <w:rPr>
                <w:sz w:val="22"/>
                <w:szCs w:val="22"/>
              </w:rPr>
              <w:t xml:space="preserve"> and increase competition</w:t>
            </w:r>
            <w:r w:rsidRPr="008446A5">
              <w:rPr>
                <w:sz w:val="22"/>
                <w:szCs w:val="22"/>
              </w:rPr>
              <w:t xml:space="preserve">, the FCC is </w:t>
            </w:r>
            <w:r w:rsidR="00D82E11">
              <w:rPr>
                <w:sz w:val="22"/>
                <w:szCs w:val="22"/>
              </w:rPr>
              <w:t xml:space="preserve">allowing </w:t>
            </w:r>
            <w:r w:rsidRPr="008446A5">
              <w:rPr>
                <w:sz w:val="22"/>
                <w:szCs w:val="22"/>
              </w:rPr>
              <w:t xml:space="preserve">certain rural telecommunications carriers </w:t>
            </w:r>
            <w:r w:rsidRPr="008446A5">
              <w:rPr>
                <w:sz w:val="22"/>
                <w:szCs w:val="22"/>
              </w:rPr>
              <w:t xml:space="preserve">the </w:t>
            </w:r>
            <w:r w:rsidR="00394A68">
              <w:rPr>
                <w:sz w:val="22"/>
                <w:szCs w:val="22"/>
              </w:rPr>
              <w:t xml:space="preserve">opportunity to transition </w:t>
            </w:r>
            <w:r w:rsidR="00BE0BF0">
              <w:rPr>
                <w:sz w:val="22"/>
                <w:szCs w:val="22"/>
              </w:rPr>
              <w:t xml:space="preserve">from burdensome and inefficient rate-of-return regulation to </w:t>
            </w:r>
            <w:r w:rsidRPr="008446A5">
              <w:rPr>
                <w:sz w:val="22"/>
                <w:szCs w:val="22"/>
              </w:rPr>
              <w:t>light-touch incentive regulation for their business data services</w:t>
            </w:r>
            <w:r w:rsidR="00D82E11">
              <w:rPr>
                <w:sz w:val="22"/>
                <w:szCs w:val="22"/>
              </w:rPr>
              <w:t>.</w:t>
            </w:r>
            <w:r w:rsidR="00CE2841">
              <w:rPr>
                <w:sz w:val="22"/>
                <w:szCs w:val="22"/>
              </w:rPr>
              <w:t xml:space="preserve"> </w:t>
            </w:r>
            <w:r w:rsidR="00BE0BF0">
              <w:rPr>
                <w:sz w:val="22"/>
                <w:szCs w:val="22"/>
              </w:rPr>
              <w:t>T</w:t>
            </w:r>
            <w:r w:rsidR="007D673F">
              <w:rPr>
                <w:sz w:val="22"/>
                <w:szCs w:val="22"/>
              </w:rPr>
              <w:t>his framework</w:t>
            </w:r>
            <w:r w:rsidRPr="008446A5">
              <w:rPr>
                <w:sz w:val="22"/>
                <w:szCs w:val="22"/>
              </w:rPr>
              <w:t xml:space="preserve"> </w:t>
            </w:r>
            <w:r w:rsidRPr="008446A5" w:rsidR="0066495C">
              <w:rPr>
                <w:sz w:val="22"/>
                <w:szCs w:val="22"/>
              </w:rPr>
              <w:t xml:space="preserve">will </w:t>
            </w:r>
            <w:r w:rsidRPr="008446A5">
              <w:rPr>
                <w:sz w:val="22"/>
                <w:szCs w:val="22"/>
              </w:rPr>
              <w:t xml:space="preserve">benefit </w:t>
            </w:r>
            <w:r w:rsidRPr="008446A5" w:rsidR="003B4D30">
              <w:rPr>
                <w:sz w:val="22"/>
                <w:szCs w:val="22"/>
              </w:rPr>
              <w:t xml:space="preserve">the </w:t>
            </w:r>
            <w:r w:rsidRPr="008446A5">
              <w:rPr>
                <w:sz w:val="22"/>
                <w:szCs w:val="22"/>
              </w:rPr>
              <w:t xml:space="preserve">rural </w:t>
            </w:r>
            <w:r w:rsidRPr="008446A5" w:rsidR="003B4D30">
              <w:rPr>
                <w:sz w:val="22"/>
                <w:szCs w:val="22"/>
              </w:rPr>
              <w:t xml:space="preserve">economy </w:t>
            </w:r>
            <w:r w:rsidRPr="008446A5" w:rsidR="00C70ABB">
              <w:rPr>
                <w:sz w:val="22"/>
                <w:szCs w:val="22"/>
              </w:rPr>
              <w:t xml:space="preserve">through </w:t>
            </w:r>
            <w:r w:rsidRPr="008446A5" w:rsidR="003B4D30">
              <w:rPr>
                <w:sz w:val="22"/>
                <w:szCs w:val="22"/>
              </w:rPr>
              <w:t>increasingly competitive</w:t>
            </w:r>
            <w:r w:rsidRPr="008446A5" w:rsidR="0066495C">
              <w:rPr>
                <w:sz w:val="22"/>
                <w:szCs w:val="22"/>
              </w:rPr>
              <w:t xml:space="preserve">, efficient, and </w:t>
            </w:r>
            <w:r w:rsidRPr="008446A5" w:rsidR="00723FBB">
              <w:rPr>
                <w:sz w:val="22"/>
                <w:szCs w:val="22"/>
              </w:rPr>
              <w:t xml:space="preserve">modern </w:t>
            </w:r>
            <w:r w:rsidR="00D82E11">
              <w:rPr>
                <w:sz w:val="22"/>
                <w:szCs w:val="22"/>
              </w:rPr>
              <w:t xml:space="preserve">business data services </w:t>
            </w:r>
            <w:r w:rsidRPr="008446A5" w:rsidR="0066495C">
              <w:rPr>
                <w:sz w:val="22"/>
                <w:szCs w:val="22"/>
              </w:rPr>
              <w:t>markets.</w:t>
            </w:r>
          </w:p>
          <w:p w:rsidR="009558E4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67EF7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data services are </w:t>
            </w:r>
            <w:r w:rsidRPr="008446A5" w:rsidR="00851B55">
              <w:rPr>
                <w:sz w:val="22"/>
                <w:szCs w:val="22"/>
              </w:rPr>
              <w:t xml:space="preserve">critical to businesses, government, and consumers across the country, providing the secure and reliable transmission of data required </w:t>
            </w:r>
            <w:r w:rsidRPr="008446A5" w:rsidR="00C70ABB">
              <w:rPr>
                <w:sz w:val="22"/>
                <w:szCs w:val="22"/>
              </w:rPr>
              <w:t xml:space="preserve">for retail services like </w:t>
            </w:r>
            <w:r w:rsidRPr="008446A5" w:rsidR="00851B55">
              <w:rPr>
                <w:sz w:val="22"/>
                <w:szCs w:val="22"/>
              </w:rPr>
              <w:t>ATMs and credit card readers</w:t>
            </w:r>
            <w:r w:rsidRPr="008446A5" w:rsidR="00C70ABB">
              <w:rPr>
                <w:sz w:val="22"/>
                <w:szCs w:val="22"/>
              </w:rPr>
              <w:t xml:space="preserve">, as well as for </w:t>
            </w:r>
            <w:r w:rsidRPr="008446A5" w:rsidR="00851B55">
              <w:rPr>
                <w:sz w:val="22"/>
                <w:szCs w:val="22"/>
              </w:rPr>
              <w:t>enterprise business and government networks that link remote offices or connect to cloud data storage and the Internet</w:t>
            </w:r>
            <w:r w:rsidRPr="008446A5" w:rsidR="00C70ABB">
              <w:rPr>
                <w:sz w:val="22"/>
                <w:szCs w:val="22"/>
              </w:rPr>
              <w:t>.</w:t>
            </w:r>
            <w:r w:rsidRPr="008446A5" w:rsidR="00CC5072">
              <w:rPr>
                <w:sz w:val="22"/>
                <w:szCs w:val="22"/>
              </w:rPr>
              <w:t xml:space="preserve"> </w:t>
            </w:r>
            <w:r w:rsidR="00837316">
              <w:rPr>
                <w:sz w:val="22"/>
                <w:szCs w:val="22"/>
              </w:rPr>
              <w:t xml:space="preserve"> </w:t>
            </w:r>
            <w:r w:rsidRPr="008446A5" w:rsidR="00CC5072">
              <w:rPr>
                <w:sz w:val="22"/>
                <w:szCs w:val="22"/>
              </w:rPr>
              <w:t xml:space="preserve">Recognizing the importance of </w:t>
            </w:r>
            <w:r>
              <w:rPr>
                <w:sz w:val="22"/>
                <w:szCs w:val="22"/>
              </w:rPr>
              <w:t xml:space="preserve">business data services </w:t>
            </w:r>
            <w:r w:rsidRPr="008446A5" w:rsidR="00CC5072">
              <w:rPr>
                <w:sz w:val="22"/>
                <w:szCs w:val="22"/>
              </w:rPr>
              <w:t xml:space="preserve">to the nation’s economy, the FCC in 2017 modernized its regulation of </w:t>
            </w:r>
            <w:r>
              <w:rPr>
                <w:sz w:val="22"/>
                <w:szCs w:val="22"/>
              </w:rPr>
              <w:t xml:space="preserve">those </w:t>
            </w:r>
            <w:r w:rsidRPr="008446A5" w:rsidR="00CC5072">
              <w:rPr>
                <w:sz w:val="22"/>
                <w:szCs w:val="22"/>
              </w:rPr>
              <w:t>services for large carriers – known as price cap carriers – to encourage deployment of modern, packet-based services.</w:t>
            </w:r>
          </w:p>
          <w:p w:rsidR="00467EF7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90CB2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46A5">
              <w:rPr>
                <w:sz w:val="22"/>
                <w:szCs w:val="22"/>
              </w:rPr>
              <w:t>To bring that modernization to rural America, t</w:t>
            </w:r>
            <w:r w:rsidRPr="008446A5" w:rsidR="00CC5072">
              <w:rPr>
                <w:sz w:val="22"/>
                <w:szCs w:val="22"/>
              </w:rPr>
              <w:t xml:space="preserve">oday’s Order builds on </w:t>
            </w:r>
            <w:r w:rsidRPr="008446A5">
              <w:rPr>
                <w:sz w:val="22"/>
                <w:szCs w:val="22"/>
              </w:rPr>
              <w:t xml:space="preserve">the 2017 framework, </w:t>
            </w:r>
            <w:r w:rsidR="00837316">
              <w:rPr>
                <w:sz w:val="22"/>
                <w:szCs w:val="22"/>
              </w:rPr>
              <w:t xml:space="preserve">which was recently upheld almost entirely </w:t>
            </w:r>
            <w:r w:rsidRPr="008446A5" w:rsidR="00CC5072">
              <w:rPr>
                <w:sz w:val="22"/>
                <w:szCs w:val="22"/>
              </w:rPr>
              <w:t xml:space="preserve">by the U.S. Court of </w:t>
            </w:r>
            <w:r w:rsidRPr="008446A5">
              <w:rPr>
                <w:sz w:val="22"/>
                <w:szCs w:val="22"/>
              </w:rPr>
              <w:t>Appeal</w:t>
            </w:r>
            <w:r w:rsidR="00016A4E">
              <w:rPr>
                <w:sz w:val="22"/>
                <w:szCs w:val="22"/>
              </w:rPr>
              <w:t>s</w:t>
            </w:r>
            <w:r w:rsidRPr="008446A5">
              <w:rPr>
                <w:sz w:val="22"/>
                <w:szCs w:val="22"/>
              </w:rPr>
              <w:t xml:space="preserve"> for the Eighth Circuit.</w:t>
            </w:r>
            <w:r w:rsidRPr="008446A5" w:rsidR="00467EF7">
              <w:rPr>
                <w:sz w:val="22"/>
                <w:szCs w:val="22"/>
              </w:rPr>
              <w:t xml:space="preserve"> </w:t>
            </w:r>
            <w:r w:rsidR="00837316">
              <w:rPr>
                <w:sz w:val="22"/>
                <w:szCs w:val="22"/>
              </w:rPr>
              <w:t xml:space="preserve"> </w:t>
            </w:r>
            <w:r w:rsidRPr="008446A5" w:rsidR="00467EF7">
              <w:rPr>
                <w:sz w:val="22"/>
                <w:szCs w:val="22"/>
              </w:rPr>
              <w:t xml:space="preserve">The carriers eligible for this modern </w:t>
            </w:r>
            <w:r w:rsidRPr="008446A5" w:rsidR="00723FBB">
              <w:rPr>
                <w:sz w:val="22"/>
                <w:szCs w:val="22"/>
              </w:rPr>
              <w:t xml:space="preserve">framework </w:t>
            </w:r>
            <w:r w:rsidRPr="008446A5" w:rsidR="00467EF7">
              <w:rPr>
                <w:sz w:val="22"/>
                <w:szCs w:val="22"/>
              </w:rPr>
              <w:t xml:space="preserve">are those that are receiving </w:t>
            </w:r>
            <w:r w:rsidR="00D56A2A">
              <w:rPr>
                <w:sz w:val="22"/>
                <w:szCs w:val="22"/>
              </w:rPr>
              <w:t xml:space="preserve">fixed </w:t>
            </w:r>
            <w:r w:rsidRPr="008446A5" w:rsidR="00467EF7">
              <w:rPr>
                <w:sz w:val="22"/>
                <w:szCs w:val="22"/>
              </w:rPr>
              <w:t>rural universal service support</w:t>
            </w:r>
            <w:r w:rsidR="00D56A2A">
              <w:rPr>
                <w:sz w:val="22"/>
                <w:szCs w:val="22"/>
              </w:rPr>
              <w:t>, typically</w:t>
            </w:r>
            <w:r w:rsidRPr="008446A5" w:rsidR="00467EF7">
              <w:rPr>
                <w:sz w:val="22"/>
                <w:szCs w:val="22"/>
              </w:rPr>
              <w:t xml:space="preserve"> through a cost model, </w:t>
            </w:r>
            <w:r w:rsidR="00D20616">
              <w:rPr>
                <w:sz w:val="22"/>
                <w:szCs w:val="22"/>
              </w:rPr>
              <w:t xml:space="preserve">a framework that is </w:t>
            </w:r>
            <w:r w:rsidRPr="008446A5" w:rsidR="00467EF7">
              <w:rPr>
                <w:sz w:val="22"/>
                <w:szCs w:val="22"/>
              </w:rPr>
              <w:t xml:space="preserve">a more efficient alternative to traditional, </w:t>
            </w:r>
            <w:r w:rsidR="00D56A2A">
              <w:rPr>
                <w:sz w:val="22"/>
                <w:szCs w:val="22"/>
              </w:rPr>
              <w:t>cost-based</w:t>
            </w:r>
            <w:r w:rsidRPr="008446A5" w:rsidR="00467EF7">
              <w:rPr>
                <w:sz w:val="22"/>
                <w:szCs w:val="22"/>
              </w:rPr>
              <w:t xml:space="preserve"> mechanisms.</w:t>
            </w:r>
          </w:p>
          <w:p w:rsidR="00390CB2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774D8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carriers include the over </w:t>
            </w:r>
            <w:r w:rsidR="00F5725B">
              <w:rPr>
                <w:sz w:val="22"/>
                <w:szCs w:val="22"/>
              </w:rPr>
              <w:t xml:space="preserve">200 </w:t>
            </w:r>
            <w:r w:rsidRPr="008446A5" w:rsidR="00467EF7">
              <w:rPr>
                <w:sz w:val="22"/>
                <w:szCs w:val="22"/>
              </w:rPr>
              <w:t xml:space="preserve">carriers </w:t>
            </w:r>
            <w:r w:rsidR="00F5725B">
              <w:rPr>
                <w:sz w:val="22"/>
                <w:szCs w:val="22"/>
              </w:rPr>
              <w:t xml:space="preserve">that </w:t>
            </w:r>
            <w:r w:rsidRPr="008446A5" w:rsidR="00467EF7">
              <w:rPr>
                <w:sz w:val="22"/>
                <w:szCs w:val="22"/>
              </w:rPr>
              <w:t xml:space="preserve">opted </w:t>
            </w:r>
            <w:r w:rsidRPr="008446A5" w:rsidR="00390CB2">
              <w:rPr>
                <w:sz w:val="22"/>
                <w:szCs w:val="22"/>
              </w:rPr>
              <w:t xml:space="preserve">into </w:t>
            </w:r>
            <w:r w:rsidRPr="008446A5" w:rsidR="00723FBB">
              <w:rPr>
                <w:sz w:val="22"/>
                <w:szCs w:val="22"/>
              </w:rPr>
              <w:t>the</w:t>
            </w:r>
            <w:r w:rsidRPr="008446A5" w:rsidR="00467EF7">
              <w:rPr>
                <w:sz w:val="22"/>
                <w:szCs w:val="22"/>
              </w:rPr>
              <w:t xml:space="preserve"> FCC’s Alternative Connect America </w:t>
            </w:r>
            <w:r w:rsidR="00F02AED">
              <w:rPr>
                <w:sz w:val="22"/>
                <w:szCs w:val="22"/>
              </w:rPr>
              <w:t xml:space="preserve">Cost </w:t>
            </w:r>
            <w:r w:rsidRPr="008446A5" w:rsidR="00467EF7">
              <w:rPr>
                <w:sz w:val="22"/>
                <w:szCs w:val="22"/>
              </w:rPr>
              <w:t xml:space="preserve">Model, </w:t>
            </w:r>
            <w:r w:rsidRPr="008446A5">
              <w:rPr>
                <w:sz w:val="22"/>
                <w:szCs w:val="22"/>
              </w:rPr>
              <w:t>13 companies receiving support through the Alaska Plan program, and others affiliated with price cap carriers</w:t>
            </w:r>
            <w:r>
              <w:rPr>
                <w:sz w:val="22"/>
                <w:szCs w:val="22"/>
              </w:rPr>
              <w:t>.</w:t>
            </w:r>
            <w:r w:rsidRPr="008446A5" w:rsidR="0039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new framework grants these </w:t>
            </w:r>
            <w:r w:rsidRPr="008446A5">
              <w:rPr>
                <w:sz w:val="22"/>
                <w:szCs w:val="22"/>
              </w:rPr>
              <w:t xml:space="preserve">carriers </w:t>
            </w:r>
            <w:r w:rsidR="00490501">
              <w:rPr>
                <w:sz w:val="22"/>
                <w:szCs w:val="22"/>
              </w:rPr>
              <w:t>f</w:t>
            </w:r>
            <w:r w:rsidRPr="008446A5">
              <w:rPr>
                <w:sz w:val="22"/>
                <w:szCs w:val="22"/>
              </w:rPr>
              <w:t>lexibility to offer volume and term discounts</w:t>
            </w:r>
            <w:r>
              <w:rPr>
                <w:sz w:val="22"/>
                <w:szCs w:val="22"/>
              </w:rPr>
              <w:t xml:space="preserve"> and individualized contract offerings for their legacy business data services</w:t>
            </w:r>
            <w:r w:rsidR="002C7B62">
              <w:rPr>
                <w:sz w:val="22"/>
                <w:szCs w:val="22"/>
              </w:rPr>
              <w:t xml:space="preserve">, </w:t>
            </w:r>
            <w:r w:rsidRPr="008446A5">
              <w:rPr>
                <w:sz w:val="22"/>
                <w:szCs w:val="22"/>
              </w:rPr>
              <w:t xml:space="preserve">relief from restrictive </w:t>
            </w:r>
            <w:r>
              <w:rPr>
                <w:sz w:val="22"/>
                <w:szCs w:val="22"/>
              </w:rPr>
              <w:t>cost support requirements,</w:t>
            </w:r>
            <w:r w:rsidRPr="008446A5">
              <w:rPr>
                <w:sz w:val="22"/>
                <w:szCs w:val="22"/>
              </w:rPr>
              <w:t xml:space="preserve"> and </w:t>
            </w:r>
            <w:r w:rsidR="00490501">
              <w:rPr>
                <w:sz w:val="22"/>
                <w:szCs w:val="22"/>
              </w:rPr>
              <w:t>detariffs</w:t>
            </w:r>
            <w:r>
              <w:rPr>
                <w:sz w:val="22"/>
                <w:szCs w:val="22"/>
              </w:rPr>
              <w:t xml:space="preserve"> their packet-based and higher speed business data services. Specifically, f</w:t>
            </w:r>
            <w:r w:rsidRPr="008446A5" w:rsidR="00390CB2">
              <w:rPr>
                <w:sz w:val="22"/>
                <w:szCs w:val="22"/>
              </w:rPr>
              <w:t>or carriers that opt in, the</w:t>
            </w:r>
            <w:r w:rsidRPr="008446A5">
              <w:rPr>
                <w:sz w:val="22"/>
                <w:szCs w:val="22"/>
              </w:rPr>
              <w:t xml:space="preserve"> Order adopted today:</w:t>
            </w:r>
          </w:p>
          <w:p w:rsidR="003B4D30" w:rsidRPr="008446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67EF7" w:rsidRPr="008446A5" w:rsidP="00467EF7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 w:val="0"/>
              <w:rPr>
                <w:szCs w:val="22"/>
              </w:rPr>
            </w:pPr>
            <w:r w:rsidRPr="008446A5">
              <w:rPr>
                <w:szCs w:val="22"/>
              </w:rPr>
              <w:t>Provide</w:t>
            </w:r>
            <w:r w:rsidRPr="008446A5" w:rsidR="00E774D8">
              <w:rPr>
                <w:szCs w:val="22"/>
              </w:rPr>
              <w:t>s</w:t>
            </w:r>
            <w:r w:rsidRPr="008446A5">
              <w:rPr>
                <w:szCs w:val="22"/>
              </w:rPr>
              <w:t xml:space="preserve"> an opportunity</w:t>
            </w:r>
            <w:r w:rsidR="004D254F">
              <w:rPr>
                <w:szCs w:val="22"/>
              </w:rPr>
              <w:t xml:space="preserve"> for eligible rate-of-return carriers</w:t>
            </w:r>
            <w:r w:rsidRPr="008446A5">
              <w:rPr>
                <w:szCs w:val="22"/>
              </w:rPr>
              <w:t xml:space="preserve"> to move</w:t>
            </w:r>
            <w:r w:rsidR="004D254F">
              <w:rPr>
                <w:szCs w:val="22"/>
              </w:rPr>
              <w:t xml:space="preserve"> their</w:t>
            </w:r>
            <w:r w:rsidRPr="008446A5">
              <w:rPr>
                <w:szCs w:val="22"/>
              </w:rPr>
              <w:t xml:space="preserve"> </w:t>
            </w:r>
            <w:r w:rsidRPr="008446A5" w:rsidR="00E774D8">
              <w:rPr>
                <w:szCs w:val="22"/>
              </w:rPr>
              <w:t xml:space="preserve">legacy </w:t>
            </w:r>
            <w:r w:rsidR="00D82E11">
              <w:rPr>
                <w:szCs w:val="22"/>
              </w:rPr>
              <w:t xml:space="preserve">business data </w:t>
            </w:r>
            <w:r w:rsidRPr="008446A5" w:rsidR="00E774D8">
              <w:rPr>
                <w:szCs w:val="22"/>
              </w:rPr>
              <w:t>services</w:t>
            </w:r>
            <w:r w:rsidRPr="008446A5" w:rsidR="00BC7714">
              <w:rPr>
                <w:szCs w:val="22"/>
              </w:rPr>
              <w:t xml:space="preserve"> </w:t>
            </w:r>
            <w:r w:rsidRPr="008446A5" w:rsidR="00E774D8">
              <w:rPr>
                <w:szCs w:val="22"/>
              </w:rPr>
              <w:t xml:space="preserve">to </w:t>
            </w:r>
            <w:r w:rsidRPr="008446A5">
              <w:rPr>
                <w:szCs w:val="22"/>
              </w:rPr>
              <w:t xml:space="preserve">incentive </w:t>
            </w:r>
            <w:r w:rsidRPr="008446A5" w:rsidR="00E774D8">
              <w:rPr>
                <w:szCs w:val="22"/>
              </w:rPr>
              <w:t>reg</w:t>
            </w:r>
            <w:r w:rsidRPr="008446A5" w:rsidR="00BC7714">
              <w:rPr>
                <w:szCs w:val="22"/>
              </w:rPr>
              <w:t>ulation</w:t>
            </w:r>
            <w:r w:rsidR="004D254F">
              <w:rPr>
                <w:szCs w:val="22"/>
              </w:rPr>
              <w:t xml:space="preserve"> that is</w:t>
            </w:r>
            <w:r w:rsidRPr="008446A5" w:rsidR="00BC7714">
              <w:rPr>
                <w:szCs w:val="22"/>
              </w:rPr>
              <w:t xml:space="preserve"> </w:t>
            </w:r>
            <w:r w:rsidR="00D56A2A">
              <w:rPr>
                <w:szCs w:val="22"/>
              </w:rPr>
              <w:t>similar to</w:t>
            </w:r>
            <w:r w:rsidR="004652E7">
              <w:rPr>
                <w:szCs w:val="22"/>
              </w:rPr>
              <w:t xml:space="preserve"> the</w:t>
            </w:r>
            <w:r w:rsidR="00D56A2A">
              <w:rPr>
                <w:szCs w:val="22"/>
              </w:rPr>
              <w:t xml:space="preserve"> price cap regulation</w:t>
            </w:r>
            <w:r w:rsidR="004652E7">
              <w:rPr>
                <w:szCs w:val="22"/>
              </w:rPr>
              <w:t xml:space="preserve"> adopted in 2017.  </w:t>
            </w:r>
            <w:r w:rsidRPr="008446A5" w:rsidR="00BC7714">
              <w:rPr>
                <w:szCs w:val="22"/>
              </w:rPr>
              <w:t xml:space="preserve">Legacy </w:t>
            </w:r>
            <w:r w:rsidR="00D82E11">
              <w:rPr>
                <w:szCs w:val="22"/>
              </w:rPr>
              <w:t xml:space="preserve">business data </w:t>
            </w:r>
            <w:r w:rsidRPr="008446A5" w:rsidR="00BC7714">
              <w:rPr>
                <w:szCs w:val="22"/>
              </w:rPr>
              <w:t xml:space="preserve">services </w:t>
            </w:r>
            <w:r w:rsidRPr="008446A5" w:rsidR="00390CB2">
              <w:rPr>
                <w:szCs w:val="22"/>
              </w:rPr>
              <w:t xml:space="preserve">are those that </w:t>
            </w:r>
            <w:r w:rsidRPr="008446A5" w:rsidR="00BC7714">
              <w:rPr>
                <w:szCs w:val="22"/>
              </w:rPr>
              <w:t>operate at lower speeds – 45 Mbps</w:t>
            </w:r>
            <w:r w:rsidRPr="008446A5" w:rsidR="00390CB2">
              <w:rPr>
                <w:szCs w:val="22"/>
              </w:rPr>
              <w:t xml:space="preserve"> (DS3) or less</w:t>
            </w:r>
            <w:r w:rsidRPr="008446A5" w:rsidR="00BC7714">
              <w:rPr>
                <w:szCs w:val="22"/>
              </w:rPr>
              <w:t xml:space="preserve"> – and use </w:t>
            </w:r>
            <w:r w:rsidR="00AA3354">
              <w:rPr>
                <w:szCs w:val="22"/>
              </w:rPr>
              <w:t>a</w:t>
            </w:r>
            <w:r w:rsidR="00C40CE2">
              <w:rPr>
                <w:szCs w:val="22"/>
              </w:rPr>
              <w:t xml:space="preserve"> n</w:t>
            </w:r>
            <w:r w:rsidRPr="008446A5" w:rsidR="00BC7714">
              <w:rPr>
                <w:szCs w:val="22"/>
              </w:rPr>
              <w:t>etwork protocol</w:t>
            </w:r>
            <w:r w:rsidR="00C40CE2">
              <w:rPr>
                <w:szCs w:val="22"/>
              </w:rPr>
              <w:t xml:space="preserve"> known as “time-division multiplexing,” or TDM.</w:t>
            </w:r>
          </w:p>
          <w:p w:rsidR="0080537C" w:rsidRPr="008446A5" w:rsidP="001808A7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 w:val="0"/>
              <w:rPr>
                <w:szCs w:val="22"/>
              </w:rPr>
            </w:pPr>
            <w:r w:rsidRPr="008446A5">
              <w:rPr>
                <w:szCs w:val="22"/>
              </w:rPr>
              <w:t>Relieve</w:t>
            </w:r>
            <w:r w:rsidRPr="008446A5" w:rsidR="00E774D8">
              <w:rPr>
                <w:szCs w:val="22"/>
              </w:rPr>
              <w:t>s</w:t>
            </w:r>
            <w:r w:rsidRPr="008446A5">
              <w:rPr>
                <w:szCs w:val="22"/>
              </w:rPr>
              <w:t xml:space="preserve"> electing carriers’ lower speed TDM-based</w:t>
            </w:r>
            <w:r w:rsidRPr="008446A5">
              <w:rPr>
                <w:szCs w:val="22"/>
              </w:rPr>
              <w:t xml:space="preserve"> services that go to end</w:t>
            </w:r>
            <w:r w:rsidR="004D254F">
              <w:rPr>
                <w:szCs w:val="22"/>
              </w:rPr>
              <w:t>-</w:t>
            </w:r>
            <w:r w:rsidRPr="008446A5" w:rsidR="00723FBB">
              <w:rPr>
                <w:szCs w:val="22"/>
              </w:rPr>
              <w:t>user</w:t>
            </w:r>
            <w:r w:rsidR="004D254F">
              <w:rPr>
                <w:szCs w:val="22"/>
              </w:rPr>
              <w:t xml:space="preserve"> customers</w:t>
            </w:r>
            <w:r w:rsidRPr="008446A5">
              <w:rPr>
                <w:szCs w:val="22"/>
              </w:rPr>
              <w:t xml:space="preserve"> </w:t>
            </w:r>
            <w:r w:rsidRPr="008446A5">
              <w:rPr>
                <w:szCs w:val="22"/>
              </w:rPr>
              <w:t xml:space="preserve">of </w:t>
            </w:r>
            <w:r w:rsidRPr="008446A5">
              <w:rPr>
                <w:i/>
                <w:szCs w:val="22"/>
              </w:rPr>
              <w:t>ex ante</w:t>
            </w:r>
            <w:r w:rsidRPr="008446A5">
              <w:rPr>
                <w:szCs w:val="22"/>
              </w:rPr>
              <w:t xml:space="preserve"> pricing regulation in areas deemed competitive by a competitive market test.</w:t>
            </w:r>
            <w:r w:rsidRPr="008446A5">
              <w:rPr>
                <w:szCs w:val="22"/>
              </w:rPr>
              <w:t xml:space="preserve"> </w:t>
            </w:r>
            <w:r w:rsidR="00837316">
              <w:rPr>
                <w:szCs w:val="22"/>
              </w:rPr>
              <w:t xml:space="preserve"> </w:t>
            </w:r>
            <w:r w:rsidRPr="008446A5">
              <w:rPr>
                <w:szCs w:val="22"/>
              </w:rPr>
              <w:t>These services are known as “end user channel terminations.”</w:t>
            </w:r>
          </w:p>
          <w:p w:rsidR="00467EF7" w:rsidRPr="008446A5" w:rsidP="001808A7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 w:val="0"/>
              <w:rPr>
                <w:szCs w:val="22"/>
              </w:rPr>
            </w:pPr>
            <w:r w:rsidRPr="008446A5">
              <w:rPr>
                <w:szCs w:val="22"/>
              </w:rPr>
              <w:t>Eliminate</w:t>
            </w:r>
            <w:r w:rsidRPr="008446A5" w:rsidR="00A41129">
              <w:rPr>
                <w:szCs w:val="22"/>
              </w:rPr>
              <w:t>s</w:t>
            </w:r>
            <w:r w:rsidRPr="008446A5">
              <w:rPr>
                <w:szCs w:val="22"/>
              </w:rPr>
              <w:t xml:space="preserve"> </w:t>
            </w:r>
            <w:r w:rsidRPr="007D673F">
              <w:rPr>
                <w:i/>
                <w:szCs w:val="22"/>
              </w:rPr>
              <w:t>ex ante</w:t>
            </w:r>
            <w:r w:rsidRPr="008446A5">
              <w:rPr>
                <w:szCs w:val="22"/>
              </w:rPr>
              <w:t xml:space="preserve"> pricing regulation of electing carriers’ higher speed TDM-based business data services (above DS3) and their packet-based business data services.</w:t>
            </w:r>
          </w:p>
          <w:p w:rsidR="00467EF7" w:rsidRPr="008446A5" w:rsidP="00467EF7">
            <w:pPr>
              <w:pStyle w:val="ListParagraph"/>
              <w:widowControl/>
              <w:numPr>
                <w:ilvl w:val="0"/>
                <w:numId w:val="2"/>
              </w:numPr>
              <w:spacing w:after="120"/>
              <w:contextualSpacing w:val="0"/>
              <w:rPr>
                <w:szCs w:val="22"/>
              </w:rPr>
            </w:pPr>
            <w:r w:rsidRPr="008446A5">
              <w:rPr>
                <w:szCs w:val="22"/>
              </w:rPr>
              <w:t>Forbear</w:t>
            </w:r>
            <w:r w:rsidRPr="008446A5" w:rsidR="00A41129">
              <w:rPr>
                <w:szCs w:val="22"/>
              </w:rPr>
              <w:t>s</w:t>
            </w:r>
            <w:r w:rsidRPr="008446A5">
              <w:rPr>
                <w:szCs w:val="22"/>
              </w:rPr>
              <w:t xml:space="preserve"> from requiring electing carriers to comply with </w:t>
            </w:r>
            <w:r w:rsidR="00CA2BFC">
              <w:rPr>
                <w:szCs w:val="22"/>
              </w:rPr>
              <w:t>cost support</w:t>
            </w:r>
            <w:r w:rsidRPr="008446A5">
              <w:rPr>
                <w:szCs w:val="22"/>
              </w:rPr>
              <w:t>, cost assignment and jurisdictional separations requirements.</w:t>
            </w:r>
          </w:p>
          <w:p w:rsidR="00B30F3F" w:rsidRPr="000963D8" w:rsidP="00522284">
            <w:pPr>
              <w:pStyle w:val="Default"/>
              <w:rPr>
                <w:sz w:val="22"/>
                <w:szCs w:val="22"/>
              </w:rPr>
            </w:pPr>
            <w:r w:rsidRPr="000963D8">
              <w:rPr>
                <w:sz w:val="22"/>
                <w:szCs w:val="22"/>
              </w:rPr>
              <w:t>The Further Notice of Proposed Rulemaking seeks comment on</w:t>
            </w:r>
            <w:r w:rsidRPr="000963D8" w:rsidR="00561C38">
              <w:rPr>
                <w:sz w:val="22"/>
                <w:szCs w:val="22"/>
              </w:rPr>
              <w:t xml:space="preserve"> creating</w:t>
            </w:r>
            <w:r w:rsidRPr="000963D8">
              <w:rPr>
                <w:sz w:val="22"/>
                <w:szCs w:val="22"/>
              </w:rPr>
              <w:t xml:space="preserve"> </w:t>
            </w:r>
            <w:r w:rsidRPr="000963D8" w:rsidR="00561C38">
              <w:rPr>
                <w:sz w:val="22"/>
                <w:szCs w:val="22"/>
              </w:rPr>
              <w:t>a pathway</w:t>
            </w:r>
            <w:r w:rsidRPr="000963D8">
              <w:rPr>
                <w:sz w:val="22"/>
                <w:szCs w:val="22"/>
              </w:rPr>
              <w:t xml:space="preserve"> to end</w:t>
            </w:r>
            <w:r w:rsidRPr="000963D8" w:rsidR="00561C38">
              <w:rPr>
                <w:sz w:val="22"/>
                <w:szCs w:val="22"/>
              </w:rPr>
              <w:t>ing</w:t>
            </w:r>
            <w:r w:rsidRPr="000963D8">
              <w:rPr>
                <w:sz w:val="22"/>
                <w:szCs w:val="22"/>
              </w:rPr>
              <w:t xml:space="preserve"> </w:t>
            </w:r>
            <w:r w:rsidRPr="000963D8">
              <w:rPr>
                <w:i/>
                <w:sz w:val="22"/>
                <w:szCs w:val="22"/>
              </w:rPr>
              <w:t>ex ante</w:t>
            </w:r>
            <w:r w:rsidRPr="000963D8">
              <w:rPr>
                <w:sz w:val="22"/>
                <w:szCs w:val="22"/>
              </w:rPr>
              <w:t xml:space="preserve"> pricing regulation for the lower speed TDM-based transport services of rate-of-return carriers opting in to the incentive regulation framework the Commission adopted</w:t>
            </w:r>
            <w:r w:rsidR="00837316">
              <w:rPr>
                <w:sz w:val="22"/>
                <w:szCs w:val="22"/>
              </w:rPr>
              <w:t xml:space="preserve"> today</w:t>
            </w:r>
            <w:r w:rsidRPr="000963D8">
              <w:rPr>
                <w:sz w:val="22"/>
                <w:szCs w:val="22"/>
              </w:rPr>
              <w:t>.  These services provide higher volume connections between points of traffic aggregation on the network rather than serve end-users.</w:t>
            </w:r>
          </w:p>
          <w:p w:rsidR="00B30F3F" w:rsidRPr="000963D8" w:rsidP="00522284">
            <w:pPr>
              <w:pStyle w:val="Default"/>
              <w:rPr>
                <w:sz w:val="22"/>
                <w:szCs w:val="22"/>
              </w:rPr>
            </w:pPr>
          </w:p>
          <w:p w:rsidR="0080537C" w:rsidP="00196313">
            <w:pPr>
              <w:pStyle w:val="Default"/>
            </w:pPr>
            <w:r w:rsidRPr="000963D8">
              <w:rPr>
                <w:sz w:val="22"/>
                <w:szCs w:val="22"/>
              </w:rPr>
              <w:t>In</w:t>
            </w:r>
            <w:r w:rsidRPr="000963D8" w:rsidR="00AF3EE7">
              <w:rPr>
                <w:sz w:val="22"/>
                <w:szCs w:val="22"/>
              </w:rPr>
              <w:t xml:space="preserve"> addition,</w:t>
            </w:r>
            <w:r w:rsidRPr="000963D8">
              <w:rPr>
                <w:sz w:val="22"/>
                <w:szCs w:val="22"/>
              </w:rPr>
              <w:t xml:space="preserve"> a</w:t>
            </w:r>
            <w:r w:rsidRPr="000963D8">
              <w:rPr>
                <w:sz w:val="22"/>
                <w:szCs w:val="22"/>
              </w:rPr>
              <w:t xml:space="preserve"> </w:t>
            </w:r>
            <w:r w:rsidRPr="000963D8" w:rsidR="00D56A2A">
              <w:rPr>
                <w:sz w:val="22"/>
                <w:szCs w:val="22"/>
              </w:rPr>
              <w:t xml:space="preserve">Second </w:t>
            </w:r>
            <w:r w:rsidRPr="000963D8">
              <w:rPr>
                <w:sz w:val="22"/>
                <w:szCs w:val="22"/>
              </w:rPr>
              <w:t>Further Notice of Proposed Rulemaking</w:t>
            </w:r>
            <w:r w:rsidRPr="000963D8" w:rsidR="00AF3EE7">
              <w:rPr>
                <w:sz w:val="22"/>
                <w:szCs w:val="22"/>
              </w:rPr>
              <w:t xml:space="preserve"> </w:t>
            </w:r>
            <w:r w:rsidRPr="000963D8" w:rsidR="002C7B62">
              <w:rPr>
                <w:sz w:val="22"/>
                <w:szCs w:val="22"/>
              </w:rPr>
              <w:t>addresses a</w:t>
            </w:r>
            <w:r w:rsidRPr="000963D8" w:rsidR="00AF3EE7">
              <w:rPr>
                <w:sz w:val="22"/>
                <w:szCs w:val="22"/>
              </w:rPr>
              <w:t xml:space="preserve"> remand </w:t>
            </w:r>
            <w:r w:rsidRPr="000963D8" w:rsidR="002C7B62">
              <w:rPr>
                <w:sz w:val="22"/>
                <w:szCs w:val="22"/>
              </w:rPr>
              <w:t xml:space="preserve">in </w:t>
            </w:r>
            <w:r w:rsidRPr="000963D8" w:rsidR="00AF3EE7">
              <w:rPr>
                <w:sz w:val="22"/>
                <w:szCs w:val="22"/>
              </w:rPr>
              <w:t xml:space="preserve">the </w:t>
            </w:r>
            <w:r w:rsidR="00837316">
              <w:rPr>
                <w:sz w:val="22"/>
                <w:szCs w:val="22"/>
              </w:rPr>
              <w:t>Eighth</w:t>
            </w:r>
            <w:r w:rsidRPr="000963D8" w:rsidR="00837316">
              <w:rPr>
                <w:sz w:val="22"/>
                <w:szCs w:val="22"/>
              </w:rPr>
              <w:t xml:space="preserve"> </w:t>
            </w:r>
            <w:r w:rsidRPr="000963D8">
              <w:rPr>
                <w:sz w:val="22"/>
                <w:szCs w:val="22"/>
              </w:rPr>
              <w:t xml:space="preserve">Circuit’s </w:t>
            </w:r>
            <w:r w:rsidR="00837316">
              <w:rPr>
                <w:sz w:val="22"/>
                <w:szCs w:val="22"/>
              </w:rPr>
              <w:t>decision</w:t>
            </w:r>
            <w:r w:rsidRPr="000963D8" w:rsidR="00837316">
              <w:rPr>
                <w:sz w:val="22"/>
                <w:szCs w:val="22"/>
              </w:rPr>
              <w:t xml:space="preserve"> </w:t>
            </w:r>
            <w:r w:rsidRPr="000963D8">
              <w:rPr>
                <w:sz w:val="22"/>
                <w:szCs w:val="22"/>
              </w:rPr>
              <w:t xml:space="preserve">on the 2017 rules by </w:t>
            </w:r>
            <w:r w:rsidRPr="000963D8" w:rsidR="004652E7">
              <w:rPr>
                <w:sz w:val="22"/>
                <w:szCs w:val="22"/>
              </w:rPr>
              <w:t xml:space="preserve">seeking comment on a proposal </w:t>
            </w:r>
            <w:r w:rsidRPr="000963D8" w:rsidR="00D56A2A">
              <w:rPr>
                <w:sz w:val="22"/>
                <w:szCs w:val="22"/>
              </w:rPr>
              <w:t xml:space="preserve">to remove pricing </w:t>
            </w:r>
            <w:r w:rsidRPr="000963D8">
              <w:rPr>
                <w:sz w:val="22"/>
                <w:szCs w:val="22"/>
              </w:rPr>
              <w:t xml:space="preserve">regulation of </w:t>
            </w:r>
            <w:r w:rsidR="00837316">
              <w:rPr>
                <w:sz w:val="22"/>
                <w:szCs w:val="22"/>
              </w:rPr>
              <w:t xml:space="preserve">the </w:t>
            </w:r>
            <w:r w:rsidRPr="000963D8" w:rsidR="00D56A2A">
              <w:rPr>
                <w:sz w:val="22"/>
                <w:szCs w:val="22"/>
              </w:rPr>
              <w:t xml:space="preserve">TDM </w:t>
            </w:r>
            <w:r w:rsidRPr="000963D8">
              <w:rPr>
                <w:sz w:val="22"/>
                <w:szCs w:val="22"/>
              </w:rPr>
              <w:t>transport services</w:t>
            </w:r>
            <w:r w:rsidRPr="000963D8" w:rsidR="00D20616">
              <w:rPr>
                <w:sz w:val="22"/>
                <w:szCs w:val="22"/>
              </w:rPr>
              <w:t xml:space="preserve"> of price cap carriers</w:t>
            </w:r>
            <w:r w:rsidRPr="000963D8" w:rsidR="00AF3EE7">
              <w:rPr>
                <w:sz w:val="22"/>
                <w:szCs w:val="22"/>
              </w:rPr>
              <w:t xml:space="preserve">. 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DD4729" w:rsidRPr="00DD4729" w:rsidP="00DD4729">
            <w:pPr>
              <w:rPr>
                <w:sz w:val="22"/>
                <w:szCs w:val="22"/>
              </w:rPr>
            </w:pPr>
            <w:r w:rsidRPr="00DD4729">
              <w:rPr>
                <w:sz w:val="22"/>
                <w:szCs w:val="22"/>
              </w:rPr>
              <w:t>Action by the Commission October 23, 2018 by Report and Order, Further Notice of Proposed Rulemaking, and Second Further Notice of Proposed Rulemaking (FCC 18-</w:t>
            </w:r>
            <w:r w:rsidRPr="00C07BC3">
              <w:rPr>
                <w:sz w:val="22"/>
                <w:szCs w:val="22"/>
              </w:rPr>
              <w:t>146).  Chairman Pai, Commissioners</w:t>
            </w:r>
            <w:r w:rsidRPr="00C07BC3" w:rsidR="00C07BC3">
              <w:rPr>
                <w:sz w:val="22"/>
                <w:szCs w:val="22"/>
              </w:rPr>
              <w:t xml:space="preserve"> O’Rielly and Carr </w:t>
            </w:r>
            <w:r w:rsidRPr="00C07BC3">
              <w:rPr>
                <w:sz w:val="22"/>
                <w:szCs w:val="22"/>
              </w:rPr>
              <w:t xml:space="preserve">approving.  </w:t>
            </w:r>
            <w:r w:rsidRPr="00C07BC3" w:rsidR="00C07BC3">
              <w:rPr>
                <w:sz w:val="22"/>
                <w:szCs w:val="22"/>
              </w:rPr>
              <w:t xml:space="preserve">Commissioner Rosenworcel concurring.  </w:t>
            </w:r>
            <w:r w:rsidRPr="00C07BC3">
              <w:rPr>
                <w:sz w:val="22"/>
                <w:szCs w:val="22"/>
              </w:rPr>
              <w:t>Chairman Pai, Commissioners O’Rielly, Carr, and Rosenworcel issuing separate statements.</w:t>
            </w:r>
          </w:p>
          <w:p w:rsidR="00DD4729" w:rsidRPr="00DD4729" w:rsidP="00DD4729">
            <w:pPr>
              <w:rPr>
                <w:sz w:val="22"/>
                <w:szCs w:val="22"/>
              </w:rPr>
            </w:pPr>
          </w:p>
          <w:p w:rsidR="00DD472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D4729">
              <w:rPr>
                <w:sz w:val="22"/>
                <w:szCs w:val="22"/>
              </w:rPr>
              <w:t>WC Docket Nos. 17-144, 16-143, 05-25</w:t>
            </w:r>
          </w:p>
          <w:p w:rsidR="00DD4729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P="00BC7714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35281C"/>
    <w:multiLevelType w:val="hybridMultilevel"/>
    <w:tmpl w:val="C362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7EF7"/>
    <w:pPr>
      <w:widowControl w:val="0"/>
      <w:ind w:left="720"/>
      <w:contextualSpacing/>
    </w:pPr>
    <w:rPr>
      <w:snapToGrid w:val="0"/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6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6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6A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A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A2A"/>
    <w:rPr>
      <w:b/>
      <w:bCs/>
    </w:rPr>
  </w:style>
  <w:style w:type="paragraph" w:customStyle="1" w:styleId="Default">
    <w:name w:val="Default"/>
    <w:rsid w:val="00C642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