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9F27E0" w:rsidP="00D17CC3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STATEMENT OF </w:t>
      </w:r>
      <w:r w:rsidR="00D17CC3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COMMISSIONER MICHAEL O’RIELLY</w:t>
      </w:r>
    </w:p>
    <w:p w:rsidR="009F27E0" w:rsidP="00D17CC3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70B75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ab/>
      </w:r>
      <w:r w:rsidR="00651705">
        <w:rPr>
          <w:rFonts w:ascii="Times New Roman" w:hAnsi="Times New Roman" w:cs="Times New Roman"/>
          <w:i/>
        </w:rPr>
        <w:t>Regulation of Business Data Services for Rate-of-Return Local Exchange Carriers</w:t>
      </w:r>
      <w:r w:rsidR="00651705">
        <w:rPr>
          <w:rFonts w:ascii="Times New Roman" w:hAnsi="Times New Roman" w:cs="Times New Roman"/>
        </w:rPr>
        <w:t>, WC Docket No. 17-144</w:t>
      </w:r>
      <w:r>
        <w:rPr>
          <w:rFonts w:ascii="Times New Roman" w:hAnsi="Times New Roman" w:cs="Times New Roman"/>
        </w:rPr>
        <w:t xml:space="preserve">; </w:t>
      </w:r>
      <w:r w:rsidR="00651705">
        <w:rPr>
          <w:rFonts w:ascii="Times New Roman" w:hAnsi="Times New Roman" w:cs="Times New Roman"/>
          <w:i/>
        </w:rPr>
        <w:t>Business Data Services in an Internet Protocol Environment</w:t>
      </w:r>
      <w:r>
        <w:rPr>
          <w:rFonts w:ascii="Times New Roman" w:hAnsi="Times New Roman" w:cs="Times New Roman"/>
        </w:rPr>
        <w:t>,</w:t>
      </w:r>
      <w:r w:rsidR="00651705">
        <w:rPr>
          <w:rFonts w:ascii="Times New Roman" w:hAnsi="Times New Roman" w:cs="Times New Roman"/>
        </w:rPr>
        <w:t xml:space="preserve"> WC Docket No. 16-143; </w:t>
      </w:r>
      <w:r w:rsidR="00651705">
        <w:rPr>
          <w:rFonts w:ascii="Times New Roman" w:hAnsi="Times New Roman" w:cs="Times New Roman"/>
          <w:i/>
        </w:rPr>
        <w:t>Special Access for Price Cap Local Exchange Carriers</w:t>
      </w:r>
      <w:r w:rsidR="00651705">
        <w:rPr>
          <w:rFonts w:ascii="Times New Roman" w:hAnsi="Times New Roman" w:cs="Times New Roman"/>
        </w:rPr>
        <w:t>, WC Docket No. 05-25.</w:t>
      </w:r>
      <w:r>
        <w:rPr>
          <w:rFonts w:ascii="Times New Roman" w:hAnsi="Times New Roman" w:cs="Times New Roman"/>
        </w:rPr>
        <w:t xml:space="preserve"> </w:t>
      </w:r>
    </w:p>
    <w:p w:rsidR="005F38F7" w:rsidP="00D17CC3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2017, </w:t>
      </w:r>
      <w:r w:rsidR="00C56C19">
        <w:rPr>
          <w:rFonts w:ascii="Times New Roman" w:hAnsi="Times New Roman" w:cs="Times New Roman"/>
        </w:rPr>
        <w:t xml:space="preserve">this Commission </w:t>
      </w:r>
      <w:r w:rsidR="007E1AFA">
        <w:rPr>
          <w:rFonts w:ascii="Times New Roman" w:hAnsi="Times New Roman" w:cs="Times New Roman"/>
        </w:rPr>
        <w:t xml:space="preserve">generally </w:t>
      </w:r>
      <w:r w:rsidR="00C56C19">
        <w:rPr>
          <w:rFonts w:ascii="Times New Roman" w:hAnsi="Times New Roman" w:cs="Times New Roman"/>
        </w:rPr>
        <w:t>deregulat</w:t>
      </w:r>
      <w:r w:rsidR="007E1AFA">
        <w:rPr>
          <w:rFonts w:ascii="Times New Roman" w:hAnsi="Times New Roman" w:cs="Times New Roman"/>
        </w:rPr>
        <w:t>ed</w:t>
      </w:r>
      <w:r w:rsidR="00C56C19">
        <w:rPr>
          <w:rFonts w:ascii="Times New Roman" w:hAnsi="Times New Roman" w:cs="Times New Roman"/>
        </w:rPr>
        <w:t xml:space="preserve"> business data services for price cap carriers</w:t>
      </w:r>
      <w:r w:rsidR="000E4F8A">
        <w:rPr>
          <w:rFonts w:ascii="Times New Roman" w:hAnsi="Times New Roman" w:cs="Times New Roman"/>
        </w:rPr>
        <w:t>,</w:t>
      </w:r>
      <w:r w:rsidR="00BA02EF">
        <w:rPr>
          <w:rFonts w:ascii="Times New Roman" w:hAnsi="Times New Roman" w:cs="Times New Roman"/>
        </w:rPr>
        <w:t xml:space="preserve"> </w:t>
      </w:r>
      <w:r w:rsidR="00341D83">
        <w:rPr>
          <w:rFonts w:ascii="Times New Roman" w:hAnsi="Times New Roman" w:cs="Times New Roman"/>
        </w:rPr>
        <w:t>relying on</w:t>
      </w:r>
      <w:r w:rsidR="00F520E6">
        <w:rPr>
          <w:rFonts w:ascii="Times New Roman" w:hAnsi="Times New Roman" w:cs="Times New Roman"/>
        </w:rPr>
        <w:t xml:space="preserve"> </w:t>
      </w:r>
      <w:r w:rsidR="00C56C19">
        <w:rPr>
          <w:rFonts w:ascii="Times New Roman" w:hAnsi="Times New Roman" w:cs="Times New Roman"/>
        </w:rPr>
        <w:t>competitive market</w:t>
      </w:r>
      <w:r w:rsidR="00341D83">
        <w:rPr>
          <w:rFonts w:ascii="Times New Roman" w:hAnsi="Times New Roman" w:cs="Times New Roman"/>
        </w:rPr>
        <w:t>s</w:t>
      </w:r>
      <w:r w:rsidR="00C56C19">
        <w:rPr>
          <w:rFonts w:ascii="Times New Roman" w:hAnsi="Times New Roman" w:cs="Times New Roman"/>
        </w:rPr>
        <w:t xml:space="preserve"> to achieve better outcomes for enterprise consumers than </w:t>
      </w:r>
      <w:r w:rsidR="00734FFA">
        <w:rPr>
          <w:rFonts w:ascii="Times New Roman" w:hAnsi="Times New Roman" w:cs="Times New Roman"/>
        </w:rPr>
        <w:t>our previous regulatory scheme</w:t>
      </w:r>
      <w:r w:rsidR="00293BB3">
        <w:rPr>
          <w:rFonts w:ascii="Times New Roman" w:hAnsi="Times New Roman" w:cs="Times New Roman"/>
        </w:rPr>
        <w:t xml:space="preserve"> would have allowed</w:t>
      </w:r>
      <w:r w:rsidR="00C56C19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Today, </w:t>
      </w:r>
      <w:r w:rsidR="00341D83">
        <w:rPr>
          <w:rFonts w:ascii="Times New Roman" w:hAnsi="Times New Roman" w:cs="Times New Roman"/>
        </w:rPr>
        <w:t xml:space="preserve">we further this effort </w:t>
      </w:r>
      <w:r>
        <w:rPr>
          <w:rFonts w:ascii="Times New Roman" w:hAnsi="Times New Roman" w:cs="Times New Roman"/>
        </w:rPr>
        <w:t xml:space="preserve">by </w:t>
      </w:r>
      <w:r w:rsidR="004722F1">
        <w:rPr>
          <w:rFonts w:ascii="Times New Roman" w:hAnsi="Times New Roman" w:cs="Times New Roman"/>
        </w:rPr>
        <w:t>offering</w:t>
      </w:r>
      <w:r>
        <w:rPr>
          <w:rFonts w:ascii="Times New Roman" w:hAnsi="Times New Roman" w:cs="Times New Roman"/>
        </w:rPr>
        <w:t xml:space="preserve"> model-based rate-of-return carriers </w:t>
      </w:r>
      <w:r w:rsidR="004722F1">
        <w:rPr>
          <w:rFonts w:ascii="Times New Roman" w:hAnsi="Times New Roman" w:cs="Times New Roman"/>
        </w:rPr>
        <w:t xml:space="preserve">the option </w:t>
      </w:r>
      <w:r>
        <w:rPr>
          <w:rFonts w:ascii="Times New Roman" w:hAnsi="Times New Roman" w:cs="Times New Roman"/>
        </w:rPr>
        <w:t>to convert their BDS offering</w:t>
      </w:r>
      <w:r w:rsidR="004722F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incentive regulation and </w:t>
      </w:r>
      <w:r w:rsidR="00A14DFD">
        <w:rPr>
          <w:rFonts w:ascii="Times New Roman" w:hAnsi="Times New Roman" w:cs="Times New Roman"/>
        </w:rPr>
        <w:t xml:space="preserve">altogether </w:t>
      </w:r>
      <w:r w:rsidR="00EC67B0">
        <w:rPr>
          <w:rFonts w:ascii="Times New Roman" w:hAnsi="Times New Roman" w:cs="Times New Roman"/>
        </w:rPr>
        <w:t xml:space="preserve">eliminate </w:t>
      </w:r>
      <w:r w:rsidRPr="00A64BA6" w:rsidR="004722F1">
        <w:rPr>
          <w:rFonts w:ascii="Times New Roman" w:hAnsi="Times New Roman" w:cs="Times New Roman"/>
          <w:i/>
        </w:rPr>
        <w:t>ex ante</w:t>
      </w:r>
      <w:r w:rsidR="004722F1">
        <w:rPr>
          <w:rFonts w:ascii="Times New Roman" w:hAnsi="Times New Roman" w:cs="Times New Roman"/>
        </w:rPr>
        <w:t xml:space="preserve"> pricing regulation for electing carriers’ high-speed services.</w:t>
      </w:r>
      <w:r>
        <w:rPr>
          <w:rFonts w:ascii="Times New Roman" w:hAnsi="Times New Roman" w:cs="Times New Roman"/>
        </w:rPr>
        <w:t xml:space="preserve"> </w:t>
      </w:r>
      <w:r w:rsidR="004722F1">
        <w:rPr>
          <w:rFonts w:ascii="Times New Roman" w:hAnsi="Times New Roman" w:cs="Times New Roman"/>
        </w:rPr>
        <w:t xml:space="preserve"> While converting from rate-of-return regulation </w:t>
      </w:r>
      <w:r w:rsidR="00CA2C4C">
        <w:rPr>
          <w:rFonts w:ascii="Times New Roman" w:hAnsi="Times New Roman" w:cs="Times New Roman"/>
        </w:rPr>
        <w:t>may</w:t>
      </w:r>
      <w:r w:rsidR="004722F1">
        <w:rPr>
          <w:rFonts w:ascii="Times New Roman" w:hAnsi="Times New Roman" w:cs="Times New Roman"/>
        </w:rPr>
        <w:t xml:space="preserve"> not </w:t>
      </w:r>
      <w:r w:rsidR="00CA2C4C">
        <w:rPr>
          <w:rFonts w:ascii="Times New Roman" w:hAnsi="Times New Roman" w:cs="Times New Roman"/>
        </w:rPr>
        <w:t xml:space="preserve">be </w:t>
      </w:r>
      <w:r w:rsidR="004722F1">
        <w:rPr>
          <w:rFonts w:ascii="Times New Roman" w:hAnsi="Times New Roman" w:cs="Times New Roman"/>
        </w:rPr>
        <w:t xml:space="preserve">the solution for every business, I anticipate that many carriers will </w:t>
      </w:r>
      <w:r w:rsidR="00A14DFD">
        <w:rPr>
          <w:rFonts w:ascii="Times New Roman" w:hAnsi="Times New Roman" w:cs="Times New Roman"/>
        </w:rPr>
        <w:t>be eager to take advantage of the opportunity to forego burdensome yearly cost studies</w:t>
      </w:r>
      <w:r w:rsidR="00C96F01">
        <w:rPr>
          <w:rFonts w:ascii="Times New Roman" w:hAnsi="Times New Roman" w:cs="Times New Roman"/>
        </w:rPr>
        <w:t xml:space="preserve"> and operate with greater investment flexibility</w:t>
      </w:r>
      <w:r w:rsidR="00A14DFD">
        <w:rPr>
          <w:rFonts w:ascii="Times New Roman" w:hAnsi="Times New Roman" w:cs="Times New Roman"/>
        </w:rPr>
        <w:t>.</w:t>
      </w:r>
      <w:r w:rsidR="004722F1">
        <w:rPr>
          <w:rFonts w:ascii="Times New Roman" w:hAnsi="Times New Roman" w:cs="Times New Roman"/>
        </w:rPr>
        <w:t xml:space="preserve"> </w:t>
      </w:r>
    </w:p>
    <w:p w:rsidR="00A14DFD" w:rsidP="00D17CC3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item has my strong support</w:t>
      </w:r>
      <w:r w:rsidR="005F63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although </w:t>
      </w:r>
      <w:r w:rsidR="00B6046A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might</w:t>
      </w:r>
      <w:r w:rsidR="0005552F">
        <w:rPr>
          <w:rFonts w:ascii="Times New Roman" w:hAnsi="Times New Roman" w:cs="Times New Roman"/>
        </w:rPr>
        <w:t xml:space="preserve"> have directed</w:t>
      </w:r>
      <w:r w:rsidR="006E6F66">
        <w:rPr>
          <w:rFonts w:ascii="Times New Roman" w:hAnsi="Times New Roman" w:cs="Times New Roman"/>
        </w:rPr>
        <w:t xml:space="preserve"> </w:t>
      </w:r>
      <w:r w:rsidR="00C96F01">
        <w:rPr>
          <w:rFonts w:ascii="Times New Roman" w:hAnsi="Times New Roman" w:cs="Times New Roman"/>
        </w:rPr>
        <w:t xml:space="preserve">electing carriers </w:t>
      </w:r>
      <w:r w:rsidR="0005552F">
        <w:rPr>
          <w:rFonts w:ascii="Times New Roman" w:hAnsi="Times New Roman" w:cs="Times New Roman"/>
        </w:rPr>
        <w:t xml:space="preserve">to </w:t>
      </w:r>
      <w:r w:rsidR="00C96F01">
        <w:rPr>
          <w:rFonts w:ascii="Times New Roman" w:hAnsi="Times New Roman" w:cs="Times New Roman"/>
        </w:rPr>
        <w:t xml:space="preserve">set their initial rates </w:t>
      </w:r>
      <w:r w:rsidR="00F65D7C">
        <w:rPr>
          <w:rFonts w:ascii="Times New Roman" w:hAnsi="Times New Roman" w:cs="Times New Roman"/>
        </w:rPr>
        <w:t xml:space="preserve">at </w:t>
      </w:r>
      <w:r w:rsidR="00C60F2A">
        <w:rPr>
          <w:rFonts w:ascii="Times New Roman" w:hAnsi="Times New Roman" w:cs="Times New Roman"/>
        </w:rPr>
        <w:t>a</w:t>
      </w:r>
      <w:r w:rsidR="00F65D7C">
        <w:rPr>
          <w:rFonts w:ascii="Times New Roman" w:hAnsi="Times New Roman" w:cs="Times New Roman"/>
        </w:rPr>
        <w:t xml:space="preserve"> </w:t>
      </w:r>
      <w:r w:rsidR="00C60F2A">
        <w:rPr>
          <w:rFonts w:ascii="Times New Roman" w:hAnsi="Times New Roman" w:cs="Times New Roman"/>
        </w:rPr>
        <w:t>lower</w:t>
      </w:r>
      <w:r w:rsidR="00F65D7C">
        <w:rPr>
          <w:rFonts w:ascii="Times New Roman" w:hAnsi="Times New Roman" w:cs="Times New Roman"/>
        </w:rPr>
        <w:t xml:space="preserve"> </w:t>
      </w:r>
      <w:r w:rsidR="003D62DA">
        <w:rPr>
          <w:rFonts w:ascii="Times New Roman" w:hAnsi="Times New Roman" w:cs="Times New Roman"/>
        </w:rPr>
        <w:t xml:space="preserve">rate of return.  Since the transition to incentive </w:t>
      </w:r>
      <w:r w:rsidR="001A26DB">
        <w:rPr>
          <w:rFonts w:ascii="Times New Roman" w:hAnsi="Times New Roman" w:cs="Times New Roman"/>
        </w:rPr>
        <w:t xml:space="preserve">regulation is </w:t>
      </w:r>
      <w:r w:rsidR="003D62DA">
        <w:rPr>
          <w:rFonts w:ascii="Times New Roman" w:hAnsi="Times New Roman" w:cs="Times New Roman"/>
        </w:rPr>
        <w:t xml:space="preserve">voluntary, </w:t>
      </w:r>
      <w:r w:rsidR="00B6046A">
        <w:rPr>
          <w:rFonts w:ascii="Times New Roman" w:hAnsi="Times New Roman" w:cs="Times New Roman"/>
        </w:rPr>
        <w:t>the fully-transitioned 9.75% rate of return</w:t>
      </w:r>
      <w:r w:rsidR="003D62DA">
        <w:rPr>
          <w:rFonts w:ascii="Times New Roman" w:hAnsi="Times New Roman" w:cs="Times New Roman"/>
        </w:rPr>
        <w:t xml:space="preserve"> </w:t>
      </w:r>
      <w:r w:rsidR="004D1367">
        <w:rPr>
          <w:rFonts w:ascii="Times New Roman" w:hAnsi="Times New Roman" w:cs="Times New Roman"/>
        </w:rPr>
        <w:t xml:space="preserve">designated in the </w:t>
      </w:r>
      <w:r w:rsidRPr="00B6046A" w:rsidR="004D1367">
        <w:rPr>
          <w:rFonts w:ascii="Times New Roman" w:hAnsi="Times New Roman" w:cs="Times New Roman"/>
          <w:i/>
        </w:rPr>
        <w:t>2016 Rate-of-Return Reform Order</w:t>
      </w:r>
      <w:r w:rsidR="004D1367">
        <w:rPr>
          <w:rFonts w:ascii="Times New Roman" w:hAnsi="Times New Roman" w:cs="Times New Roman"/>
        </w:rPr>
        <w:t xml:space="preserve"> </w:t>
      </w:r>
      <w:r w:rsidR="002F729B">
        <w:rPr>
          <w:rFonts w:ascii="Times New Roman" w:hAnsi="Times New Roman" w:cs="Times New Roman"/>
        </w:rPr>
        <w:t>seemed appropriate</w:t>
      </w:r>
      <w:r w:rsidR="005F633F">
        <w:rPr>
          <w:rFonts w:ascii="Times New Roman" w:hAnsi="Times New Roman" w:cs="Times New Roman"/>
        </w:rPr>
        <w:t>.</w:t>
      </w:r>
      <w:r w:rsidR="003D62DA">
        <w:rPr>
          <w:rFonts w:ascii="Times New Roman" w:hAnsi="Times New Roman" w:cs="Times New Roman"/>
        </w:rPr>
        <w:t xml:space="preserve"> </w:t>
      </w:r>
      <w:r w:rsidR="00B6046A">
        <w:rPr>
          <w:rFonts w:ascii="Times New Roman" w:hAnsi="Times New Roman" w:cs="Times New Roman"/>
        </w:rPr>
        <w:t xml:space="preserve"> I am</w:t>
      </w:r>
      <w:r w:rsidR="003D62DA">
        <w:rPr>
          <w:rFonts w:ascii="Times New Roman" w:hAnsi="Times New Roman" w:cs="Times New Roman"/>
        </w:rPr>
        <w:t>, however,</w:t>
      </w:r>
      <w:r w:rsidR="00B6046A">
        <w:rPr>
          <w:rFonts w:ascii="Times New Roman" w:hAnsi="Times New Roman" w:cs="Times New Roman"/>
        </w:rPr>
        <w:t xml:space="preserve"> </w:t>
      </w:r>
      <w:r w:rsidR="004D1367">
        <w:rPr>
          <w:rFonts w:ascii="Times New Roman" w:hAnsi="Times New Roman" w:cs="Times New Roman"/>
        </w:rPr>
        <w:t>grateful</w:t>
      </w:r>
      <w:r w:rsidR="00B6046A">
        <w:rPr>
          <w:rFonts w:ascii="Times New Roman" w:hAnsi="Times New Roman" w:cs="Times New Roman"/>
        </w:rPr>
        <w:t xml:space="preserve"> </w:t>
      </w:r>
      <w:r w:rsidR="003D62DA">
        <w:rPr>
          <w:rFonts w:ascii="Times New Roman" w:hAnsi="Times New Roman" w:cs="Times New Roman"/>
        </w:rPr>
        <w:t>for the recirculated draft’s clarification</w:t>
      </w:r>
      <w:r w:rsidR="00B6046A">
        <w:rPr>
          <w:rFonts w:ascii="Times New Roman" w:hAnsi="Times New Roman" w:cs="Times New Roman"/>
        </w:rPr>
        <w:t xml:space="preserve"> that carriers electing </w:t>
      </w:r>
      <w:r w:rsidR="005F633F">
        <w:rPr>
          <w:rFonts w:ascii="Times New Roman" w:hAnsi="Times New Roman" w:cs="Times New Roman"/>
        </w:rPr>
        <w:t xml:space="preserve">during a second window </w:t>
      </w:r>
      <w:r w:rsidR="003D62DA">
        <w:rPr>
          <w:rFonts w:ascii="Times New Roman" w:hAnsi="Times New Roman" w:cs="Times New Roman"/>
        </w:rPr>
        <w:t xml:space="preserve">would be required to set their rates according to the </w:t>
      </w:r>
      <w:r w:rsidR="00694C58">
        <w:rPr>
          <w:rFonts w:ascii="Times New Roman" w:hAnsi="Times New Roman" w:cs="Times New Roman"/>
        </w:rPr>
        <w:t xml:space="preserve">applicable </w:t>
      </w:r>
      <w:r w:rsidR="003D62DA">
        <w:rPr>
          <w:rFonts w:ascii="Times New Roman" w:hAnsi="Times New Roman" w:cs="Times New Roman"/>
        </w:rPr>
        <w:t>rate of return</w:t>
      </w:r>
      <w:r w:rsidR="00694C58">
        <w:rPr>
          <w:rFonts w:ascii="Times New Roman" w:hAnsi="Times New Roman" w:cs="Times New Roman"/>
        </w:rPr>
        <w:t xml:space="preserve"> in the year of their election</w:t>
      </w:r>
      <w:r w:rsidR="005F633F">
        <w:rPr>
          <w:rFonts w:ascii="Times New Roman" w:hAnsi="Times New Roman" w:cs="Times New Roman"/>
        </w:rPr>
        <w:t>.</w:t>
      </w:r>
    </w:p>
    <w:p w:rsidR="0005552F" w:rsidP="00D17CC3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Likewise, </w:t>
      </w:r>
      <w:r w:rsidR="00FA2888">
        <w:rPr>
          <w:rFonts w:ascii="Times New Roman" w:hAnsi="Times New Roman" w:cs="Times New Roman"/>
        </w:rPr>
        <w:t xml:space="preserve">I am pleased by </w:t>
      </w:r>
      <w:r w:rsidR="00A64BA6">
        <w:rPr>
          <w:rFonts w:ascii="Times New Roman" w:hAnsi="Times New Roman" w:cs="Times New Roman"/>
        </w:rPr>
        <w:t>the decision to forbear</w:t>
      </w:r>
      <w:r w:rsidR="00FA2888">
        <w:rPr>
          <w:rFonts w:ascii="Times New Roman" w:hAnsi="Times New Roman" w:cs="Times New Roman"/>
        </w:rPr>
        <w:t xml:space="preserve"> from </w:t>
      </w:r>
      <w:r>
        <w:rPr>
          <w:rFonts w:ascii="Times New Roman" w:hAnsi="Times New Roman" w:cs="Times New Roman"/>
        </w:rPr>
        <w:t xml:space="preserve">applying </w:t>
      </w:r>
      <w:r w:rsidR="00FA2888">
        <w:rPr>
          <w:rFonts w:ascii="Times New Roman" w:hAnsi="Times New Roman" w:cs="Times New Roman"/>
        </w:rPr>
        <w:t xml:space="preserve">separations and other cost assignment rules </w:t>
      </w:r>
      <w:r>
        <w:rPr>
          <w:rFonts w:ascii="Times New Roman" w:hAnsi="Times New Roman" w:cs="Times New Roman"/>
        </w:rPr>
        <w:t xml:space="preserve">to </w:t>
      </w:r>
      <w:r w:rsidR="00FA2888">
        <w:rPr>
          <w:rFonts w:ascii="Times New Roman" w:hAnsi="Times New Roman" w:cs="Times New Roman"/>
        </w:rPr>
        <w:t xml:space="preserve">electing carriers.  </w:t>
      </w:r>
      <w:r w:rsidR="00A64BA6">
        <w:rPr>
          <w:rFonts w:ascii="Times New Roman" w:hAnsi="Times New Roman" w:cs="Times New Roman"/>
        </w:rPr>
        <w:t xml:space="preserve">Thanks to regulatory and marketplace evolution, the process of separating regulated costs between interstate and intrastate jurisdictions has become increasingly irrelevant and unnecessary.  </w:t>
      </w:r>
      <w:r w:rsidR="00E557E4">
        <w:rPr>
          <w:rFonts w:ascii="Times New Roman" w:hAnsi="Times New Roman" w:cs="Times New Roman"/>
        </w:rPr>
        <w:t xml:space="preserve">With </w:t>
      </w:r>
      <w:r w:rsidR="00A64BA6">
        <w:rPr>
          <w:rFonts w:ascii="Times New Roman" w:hAnsi="Times New Roman" w:cs="Times New Roman"/>
        </w:rPr>
        <w:t xml:space="preserve">an additional subset of carriers no longer subject to </w:t>
      </w:r>
      <w:r>
        <w:rPr>
          <w:rFonts w:ascii="Times New Roman" w:hAnsi="Times New Roman" w:cs="Times New Roman"/>
        </w:rPr>
        <w:t>the legacy rules</w:t>
      </w:r>
      <w:r w:rsidR="00A64BA6">
        <w:rPr>
          <w:rFonts w:ascii="Times New Roman" w:hAnsi="Times New Roman" w:cs="Times New Roman"/>
        </w:rPr>
        <w:t xml:space="preserve">, the case for </w:t>
      </w:r>
      <w:r>
        <w:rPr>
          <w:rFonts w:ascii="Times New Roman" w:hAnsi="Times New Roman" w:cs="Times New Roman"/>
        </w:rPr>
        <w:t>comprehensive separations reform</w:t>
      </w:r>
      <w:r w:rsidR="006A5765"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>weaker</w:t>
      </w:r>
      <w:r w:rsidR="006A5765">
        <w:rPr>
          <w:rFonts w:ascii="Times New Roman" w:hAnsi="Times New Roman" w:cs="Times New Roman"/>
        </w:rPr>
        <w:t xml:space="preserve"> than ever.  </w:t>
      </w:r>
      <w:r>
        <w:rPr>
          <w:rFonts w:ascii="Times New Roman" w:hAnsi="Times New Roman" w:cs="Times New Roman"/>
        </w:rPr>
        <w:t xml:space="preserve">It is inappropriate to reopen that can of worms.  </w:t>
      </w:r>
      <w:r w:rsidR="006A5765">
        <w:rPr>
          <w:rFonts w:ascii="Times New Roman" w:hAnsi="Times New Roman" w:cs="Times New Roman"/>
        </w:rPr>
        <w:t>Moreover,</w:t>
      </w:r>
      <w:r w:rsidR="00A64BA6">
        <w:rPr>
          <w:rFonts w:ascii="Times New Roman" w:hAnsi="Times New Roman" w:cs="Times New Roman"/>
        </w:rPr>
        <w:t xml:space="preserve"> </w:t>
      </w:r>
      <w:r w:rsidR="006A5765">
        <w:rPr>
          <w:rFonts w:ascii="Times New Roman" w:hAnsi="Times New Roman" w:cs="Times New Roman"/>
        </w:rPr>
        <w:t>t</w:t>
      </w:r>
      <w:r w:rsidR="00A64BA6">
        <w:rPr>
          <w:rFonts w:ascii="Times New Roman" w:hAnsi="Times New Roman" w:cs="Times New Roman"/>
        </w:rPr>
        <w:t>he forbearance we adopt here provides gr</w:t>
      </w:r>
      <w:bookmarkStart w:id="0" w:name="_GoBack"/>
      <w:bookmarkEnd w:id="0"/>
      <w:r w:rsidR="00A64BA6">
        <w:rPr>
          <w:rFonts w:ascii="Times New Roman" w:hAnsi="Times New Roman" w:cs="Times New Roman"/>
        </w:rPr>
        <w:t xml:space="preserve">eater justification for the Commission’s proposal in a separate proceeding to </w:t>
      </w:r>
      <w:r w:rsidR="006A5765">
        <w:rPr>
          <w:rFonts w:ascii="Times New Roman" w:hAnsi="Times New Roman" w:cs="Times New Roman"/>
        </w:rPr>
        <w:t>provide a one-time opportunity for carriers to change their category elections and extend</w:t>
      </w:r>
      <w:r w:rsidR="00A64BA6">
        <w:rPr>
          <w:rFonts w:ascii="Times New Roman" w:hAnsi="Times New Roman" w:cs="Times New Roman"/>
        </w:rPr>
        <w:t xml:space="preserve"> the separations freeze for </w:t>
      </w:r>
      <w:r w:rsidR="006A5765">
        <w:rPr>
          <w:rFonts w:ascii="Times New Roman" w:hAnsi="Times New Roman" w:cs="Times New Roman"/>
        </w:rPr>
        <w:t xml:space="preserve">a </w:t>
      </w:r>
      <w:r w:rsidR="00E557E4">
        <w:rPr>
          <w:rFonts w:ascii="Times New Roman" w:hAnsi="Times New Roman" w:cs="Times New Roman"/>
        </w:rPr>
        <w:t>prolonged</w:t>
      </w:r>
      <w:r w:rsidR="004D1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period</w:t>
      </w:r>
      <w:r w:rsidR="00A64BA6">
        <w:rPr>
          <w:rFonts w:ascii="Times New Roman" w:hAnsi="Times New Roman" w:cs="Times New Roman"/>
        </w:rPr>
        <w:t>—rather than</w:t>
      </w:r>
      <w:r w:rsidR="006A5765">
        <w:rPr>
          <w:rFonts w:ascii="Times New Roman" w:hAnsi="Times New Roman" w:cs="Times New Roman"/>
        </w:rPr>
        <w:t xml:space="preserve"> to</w:t>
      </w:r>
      <w:r w:rsidR="00A64BA6">
        <w:rPr>
          <w:rFonts w:ascii="Times New Roman" w:hAnsi="Times New Roman" w:cs="Times New Roman"/>
        </w:rPr>
        <w:t xml:space="preserve"> </w:t>
      </w:r>
      <w:r w:rsidR="006A5765">
        <w:rPr>
          <w:rFonts w:ascii="Times New Roman" w:hAnsi="Times New Roman" w:cs="Times New Roman"/>
        </w:rPr>
        <w:t>overhaul</w:t>
      </w:r>
      <w:r w:rsidR="00A64BA6">
        <w:rPr>
          <w:rFonts w:ascii="Times New Roman" w:hAnsi="Times New Roman" w:cs="Times New Roman"/>
        </w:rPr>
        <w:t xml:space="preserve"> ou</w:t>
      </w:r>
      <w:r w:rsidR="006A5765">
        <w:rPr>
          <w:rFonts w:ascii="Times New Roman" w:hAnsi="Times New Roman" w:cs="Times New Roman"/>
        </w:rPr>
        <w:t>r separations rules for an ever-shrinking</w:t>
      </w:r>
      <w:r w:rsidR="00A64BA6">
        <w:rPr>
          <w:rFonts w:ascii="Times New Roman" w:hAnsi="Times New Roman" w:cs="Times New Roman"/>
        </w:rPr>
        <w:t xml:space="preserve"> </w:t>
      </w:r>
      <w:r w:rsidR="00E557E4">
        <w:rPr>
          <w:rFonts w:ascii="Times New Roman" w:hAnsi="Times New Roman" w:cs="Times New Roman"/>
        </w:rPr>
        <w:t>base</w:t>
      </w:r>
      <w:r w:rsidR="00A64BA6">
        <w:rPr>
          <w:rFonts w:ascii="Times New Roman" w:hAnsi="Times New Roman" w:cs="Times New Roman"/>
        </w:rPr>
        <w:t>.</w:t>
      </w:r>
      <w:r w:rsidR="006A5765">
        <w:rPr>
          <w:rFonts w:ascii="Times New Roman" w:hAnsi="Times New Roman" w:cs="Times New Roman"/>
        </w:rPr>
        <w:t xml:space="preserve">  </w:t>
      </w:r>
    </w:p>
    <w:p w:rsidR="00A64BA6" w:rsidP="00D17CC3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Further, </w:t>
      </w:r>
      <w:r w:rsidR="001A26DB">
        <w:rPr>
          <w:rFonts w:ascii="Times New Roman" w:hAnsi="Times New Roman" w:cs="Times New Roman"/>
        </w:rPr>
        <w:t xml:space="preserve">since </w:t>
      </w:r>
      <w:r w:rsidR="00FB0E15">
        <w:rPr>
          <w:rFonts w:ascii="Times New Roman" w:hAnsi="Times New Roman" w:cs="Times New Roman"/>
        </w:rPr>
        <w:t xml:space="preserve">re-categorizing is costly and burdensome, carriers themselves should decide whether to unfreeze and update their category relationships in establishing going-in rates.  </w:t>
      </w:r>
      <w:r w:rsidR="00A14956">
        <w:rPr>
          <w:rFonts w:ascii="Times New Roman" w:hAnsi="Times New Roman" w:cs="Times New Roman"/>
        </w:rPr>
        <w:t xml:space="preserve">By leaving this choice up to electing carriers, this item </w:t>
      </w:r>
      <w:r w:rsidR="002B4676">
        <w:rPr>
          <w:rFonts w:ascii="Times New Roman" w:hAnsi="Times New Roman" w:cs="Times New Roman"/>
        </w:rPr>
        <w:t xml:space="preserve">advances </w:t>
      </w:r>
      <w:r w:rsidR="00FB0E15">
        <w:rPr>
          <w:rFonts w:ascii="Times New Roman" w:hAnsi="Times New Roman" w:cs="Times New Roman"/>
        </w:rPr>
        <w:t xml:space="preserve">the </w:t>
      </w:r>
      <w:r w:rsidR="001A26DB">
        <w:rPr>
          <w:rFonts w:ascii="Times New Roman" w:hAnsi="Times New Roman" w:cs="Times New Roman"/>
        </w:rPr>
        <w:t xml:space="preserve">overall </w:t>
      </w:r>
      <w:r w:rsidR="00FB0E15">
        <w:rPr>
          <w:rFonts w:ascii="Times New Roman" w:hAnsi="Times New Roman" w:cs="Times New Roman"/>
        </w:rPr>
        <w:t xml:space="preserve">goal of reducing regulatory </w:t>
      </w:r>
      <w:r w:rsidR="001A26DB">
        <w:rPr>
          <w:rFonts w:ascii="Times New Roman" w:hAnsi="Times New Roman" w:cs="Times New Roman"/>
        </w:rPr>
        <w:t>burdens</w:t>
      </w:r>
      <w:r w:rsidR="002B4676">
        <w:rPr>
          <w:rFonts w:ascii="Times New Roman" w:hAnsi="Times New Roman" w:cs="Times New Roman"/>
        </w:rPr>
        <w:t xml:space="preserve"> for model-based BDS providers</w:t>
      </w:r>
      <w:r w:rsidR="001A26DB">
        <w:rPr>
          <w:rFonts w:ascii="Times New Roman" w:hAnsi="Times New Roman" w:cs="Times New Roman"/>
        </w:rPr>
        <w:t>.</w:t>
      </w:r>
      <w:r w:rsidR="004D1367">
        <w:rPr>
          <w:rFonts w:ascii="Times New Roman" w:hAnsi="Times New Roman" w:cs="Times New Roman"/>
        </w:rPr>
        <w:t xml:space="preserve"> </w:t>
      </w:r>
      <w:r w:rsidR="00F65D7C">
        <w:rPr>
          <w:rFonts w:ascii="Times New Roman" w:hAnsi="Times New Roman" w:cs="Times New Roman"/>
        </w:rPr>
        <w:t xml:space="preserve"> Lastly, it should be noted that</w:t>
      </w:r>
      <w:r w:rsidR="004D1367">
        <w:rPr>
          <w:rFonts w:ascii="Times New Roman" w:hAnsi="Times New Roman" w:cs="Times New Roman"/>
        </w:rPr>
        <w:t xml:space="preserve"> </w:t>
      </w:r>
      <w:r w:rsidR="001D4402">
        <w:rPr>
          <w:rFonts w:ascii="Times New Roman" w:hAnsi="Times New Roman" w:cs="Times New Roman"/>
        </w:rPr>
        <w:t xml:space="preserve">our actions in the item with respect to jurisdictional separations are </w:t>
      </w:r>
      <w:r w:rsidR="00F65D7C">
        <w:rPr>
          <w:rFonts w:ascii="Times New Roman" w:hAnsi="Times New Roman" w:cs="Times New Roman"/>
        </w:rPr>
        <w:t>complete</w:t>
      </w:r>
      <w:r w:rsidR="001D4402">
        <w:rPr>
          <w:rFonts w:ascii="Times New Roman" w:hAnsi="Times New Roman" w:cs="Times New Roman"/>
        </w:rPr>
        <w:t>ly</w:t>
      </w:r>
      <w:r w:rsidR="00F65D7C">
        <w:rPr>
          <w:rFonts w:ascii="Times New Roman" w:hAnsi="Times New Roman" w:cs="Times New Roman"/>
        </w:rPr>
        <w:t xml:space="preserve"> consistent with the Commission’s authority</w:t>
      </w:r>
      <w:r w:rsidR="001D4402">
        <w:rPr>
          <w:rFonts w:ascii="Times New Roman" w:hAnsi="Times New Roman" w:cs="Times New Roman"/>
        </w:rPr>
        <w:t xml:space="preserve">, </w:t>
      </w:r>
      <w:r w:rsidR="00F65D7C">
        <w:rPr>
          <w:rFonts w:ascii="Times New Roman" w:hAnsi="Times New Roman" w:cs="Times New Roman"/>
        </w:rPr>
        <w:t xml:space="preserve">despite </w:t>
      </w:r>
      <w:r w:rsidR="003D7D5E">
        <w:rPr>
          <w:rFonts w:ascii="Times New Roman" w:hAnsi="Times New Roman" w:cs="Times New Roman"/>
        </w:rPr>
        <w:t>certain</w:t>
      </w:r>
      <w:r w:rsidR="001D4402">
        <w:rPr>
          <w:rFonts w:ascii="Times New Roman" w:hAnsi="Times New Roman" w:cs="Times New Roman"/>
        </w:rPr>
        <w:t xml:space="preserve"> claims to the contrary</w:t>
      </w:r>
      <w:r w:rsidR="00F65D7C">
        <w:rPr>
          <w:rFonts w:ascii="Times New Roman" w:hAnsi="Times New Roman" w:cs="Times New Roman"/>
        </w:rPr>
        <w:t xml:space="preserve">. </w:t>
      </w:r>
    </w:p>
    <w:p w:rsidR="00BE1D6F" w:rsidRPr="008F49B5" w:rsidP="00D17CC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vote to approve.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D7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7C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2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C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