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56400" w:rsidRPr="00A90DBE" w:rsidP="0066239A">
      <w:pPr>
        <w:spacing w:after="240" w:line="240" w:lineRule="auto"/>
        <w:jc w:val="center"/>
        <w:rPr>
          <w:rFonts w:ascii="Times New Roman" w:hAnsi="Times New Roman" w:cs="Times New Roman"/>
          <w:b/>
        </w:rPr>
      </w:pPr>
      <w:r w:rsidRPr="00A90DBE">
        <w:rPr>
          <w:rFonts w:ascii="Times New Roman" w:hAnsi="Times New Roman" w:cs="Times New Roman"/>
          <w:b/>
        </w:rPr>
        <w:t>STATEMENT OF</w:t>
      </w:r>
      <w:r w:rsidR="0066239A">
        <w:rPr>
          <w:rFonts w:ascii="Times New Roman" w:hAnsi="Times New Roman" w:cs="Times New Roman"/>
          <w:b/>
        </w:rPr>
        <w:br/>
      </w:r>
      <w:r w:rsidRPr="00A90DBE">
        <w:rPr>
          <w:rFonts w:ascii="Times New Roman" w:hAnsi="Times New Roman" w:cs="Times New Roman"/>
          <w:b/>
        </w:rPr>
        <w:t>COMMISSIONER JESSICA ROSENWORCEL,</w:t>
      </w:r>
      <w:r w:rsidR="0066239A">
        <w:rPr>
          <w:rFonts w:ascii="Times New Roman" w:hAnsi="Times New Roman" w:cs="Times New Roman"/>
          <w:b/>
        </w:rPr>
        <w:t xml:space="preserve"> </w:t>
      </w:r>
      <w:r w:rsidRPr="00A90DBE">
        <w:rPr>
          <w:rFonts w:ascii="Times New Roman" w:hAnsi="Times New Roman" w:cs="Times New Roman"/>
          <w:b/>
        </w:rPr>
        <w:t>CONCURRING</w:t>
      </w:r>
    </w:p>
    <w:p w:rsidR="00E8228C" w:rsidP="00E8228C">
      <w:pPr>
        <w:spacing w:after="120" w:line="240" w:lineRule="auto"/>
        <w:ind w:left="720" w:hanging="720"/>
        <w:rPr>
          <w:rFonts w:ascii="Times New Roman" w:hAnsi="Times New Roman" w:cs="Times New Roman"/>
        </w:rPr>
      </w:pPr>
      <w:r w:rsidRPr="00B70B75">
        <w:rPr>
          <w:rFonts w:ascii="Times New Roman" w:hAnsi="Times New Roman" w:cs="Times New Roman"/>
        </w:rPr>
        <w:t>Re</w:t>
      </w:r>
      <w:r>
        <w:rPr>
          <w:rFonts w:ascii="Times New Roman" w:hAnsi="Times New Roman" w:cs="Times New Roman"/>
          <w:i/>
        </w:rPr>
        <w:t>:</w:t>
      </w:r>
      <w:r>
        <w:rPr>
          <w:rFonts w:ascii="Times New Roman" w:hAnsi="Times New Roman" w:cs="Times New Roman"/>
          <w:i/>
        </w:rPr>
        <w:tab/>
        <w:t>Regulation of Business Data Services for Rate-of-Return Local Exchange Carriers</w:t>
      </w:r>
      <w:r>
        <w:rPr>
          <w:rFonts w:ascii="Times New Roman" w:hAnsi="Times New Roman" w:cs="Times New Roman"/>
        </w:rPr>
        <w:t xml:space="preserve">, WC Docket No. 17-144; </w:t>
      </w:r>
      <w:r>
        <w:rPr>
          <w:rFonts w:ascii="Times New Roman" w:hAnsi="Times New Roman" w:cs="Times New Roman"/>
          <w:i/>
        </w:rPr>
        <w:t>Business Data Services in an Internet Protocol Environment</w:t>
      </w:r>
      <w:r>
        <w:rPr>
          <w:rFonts w:ascii="Times New Roman" w:hAnsi="Times New Roman" w:cs="Times New Roman"/>
        </w:rPr>
        <w:t xml:space="preserve">, WC Docket No. 16-143; </w:t>
      </w:r>
      <w:r>
        <w:rPr>
          <w:rFonts w:ascii="Times New Roman" w:hAnsi="Times New Roman" w:cs="Times New Roman"/>
          <w:i/>
        </w:rPr>
        <w:t>Special Access for Price Cap Local Exchange Carriers</w:t>
      </w:r>
      <w:r>
        <w:rPr>
          <w:rFonts w:ascii="Times New Roman" w:hAnsi="Times New Roman" w:cs="Times New Roman"/>
        </w:rPr>
        <w:t xml:space="preserve">, WC Docket No. 05-25. </w:t>
      </w:r>
    </w:p>
    <w:p w:rsidR="000E1EC0" w:rsidRPr="00A90DBE" w:rsidP="0066239A">
      <w:pPr>
        <w:spacing w:after="120" w:line="240" w:lineRule="auto"/>
        <w:ind w:firstLine="720"/>
        <w:rPr>
          <w:rFonts w:ascii="Times New Roman" w:hAnsi="Times New Roman" w:cs="Times New Roman"/>
        </w:rPr>
      </w:pPr>
      <w:bookmarkStart w:id="0" w:name="_GoBack"/>
      <w:bookmarkEnd w:id="0"/>
      <w:r w:rsidRPr="00A90DBE">
        <w:rPr>
          <w:rFonts w:ascii="Times New Roman" w:hAnsi="Times New Roman" w:cs="Times New Roman"/>
        </w:rPr>
        <w:t xml:space="preserve">Business data services are an essential part of the digital economy.  These high-capacity dedicated services sustain our wireless networks, facilitate commercial transactions, and </w:t>
      </w:r>
      <w:r w:rsidRPr="00A90DBE" w:rsidR="002A4D6D">
        <w:rPr>
          <w:rFonts w:ascii="Times New Roman" w:hAnsi="Times New Roman" w:cs="Times New Roman"/>
        </w:rPr>
        <w:t xml:space="preserve">support </w:t>
      </w:r>
      <w:r w:rsidRPr="00A90DBE">
        <w:rPr>
          <w:rFonts w:ascii="Times New Roman" w:hAnsi="Times New Roman" w:cs="Times New Roman"/>
        </w:rPr>
        <w:t xml:space="preserve">communications that American businesses rely on every day.  </w:t>
      </w:r>
    </w:p>
    <w:p w:rsidR="007D1D87" w:rsidRPr="00A90DBE" w:rsidP="0066239A">
      <w:pPr>
        <w:spacing w:after="120" w:line="240" w:lineRule="auto"/>
        <w:ind w:firstLine="720"/>
        <w:rPr>
          <w:rFonts w:ascii="Times New Roman" w:hAnsi="Times New Roman" w:cs="Times New Roman"/>
        </w:rPr>
      </w:pPr>
      <w:r w:rsidRPr="00A90DBE">
        <w:rPr>
          <w:rFonts w:ascii="Times New Roman" w:hAnsi="Times New Roman" w:cs="Times New Roman"/>
        </w:rPr>
        <w:t xml:space="preserve">Here, in a grab bag of </w:t>
      </w:r>
      <w:r w:rsidRPr="00A90DBE">
        <w:rPr>
          <w:rFonts w:ascii="Times New Roman" w:hAnsi="Times New Roman" w:cs="Times New Roman"/>
        </w:rPr>
        <w:t>decisionmaking</w:t>
      </w:r>
      <w:r w:rsidRPr="00A90DBE">
        <w:rPr>
          <w:rFonts w:ascii="Times New Roman" w:hAnsi="Times New Roman" w:cs="Times New Roman"/>
        </w:rPr>
        <w:t xml:space="preserve"> and rulemaking, the Federal Communications Commission </w:t>
      </w:r>
      <w:r w:rsidRPr="00A90DBE" w:rsidR="002A4D6D">
        <w:rPr>
          <w:rFonts w:ascii="Times New Roman" w:hAnsi="Times New Roman" w:cs="Times New Roman"/>
        </w:rPr>
        <w:t xml:space="preserve">updates its business data services policies to respond to a court remand and address issues for a subset of carriers that have opted into </w:t>
      </w:r>
      <w:r w:rsidRPr="00A90DBE" w:rsidR="009E1764">
        <w:rPr>
          <w:rFonts w:ascii="Times New Roman" w:hAnsi="Times New Roman" w:cs="Times New Roman"/>
        </w:rPr>
        <w:t xml:space="preserve">new, </w:t>
      </w:r>
      <w:r w:rsidRPr="00A90DBE" w:rsidR="002A4D6D">
        <w:rPr>
          <w:rFonts w:ascii="Times New Roman" w:hAnsi="Times New Roman" w:cs="Times New Roman"/>
        </w:rPr>
        <w:t xml:space="preserve">model-based universal service support.  </w:t>
      </w:r>
      <w:r w:rsidRPr="00A90DBE">
        <w:rPr>
          <w:rFonts w:ascii="Times New Roman" w:hAnsi="Times New Roman" w:cs="Times New Roman"/>
        </w:rPr>
        <w:t xml:space="preserve"> </w:t>
      </w:r>
    </w:p>
    <w:p w:rsidR="00F637E8" w:rsidRPr="00A90DBE" w:rsidP="0066239A">
      <w:pPr>
        <w:spacing w:after="120" w:line="240" w:lineRule="auto"/>
        <w:ind w:firstLine="720"/>
        <w:rPr>
          <w:rFonts w:ascii="Times New Roman" w:hAnsi="Times New Roman" w:cs="Times New Roman"/>
        </w:rPr>
      </w:pPr>
      <w:r w:rsidRPr="00A90DBE">
        <w:rPr>
          <w:rFonts w:ascii="Times New Roman" w:hAnsi="Times New Roman" w:cs="Times New Roman"/>
        </w:rPr>
        <w:t>While I support the outcome of today’s decision, I concur because its analyt</w:t>
      </w:r>
      <w:r w:rsidRPr="00A90DBE">
        <w:rPr>
          <w:rFonts w:ascii="Times New Roman" w:hAnsi="Times New Roman" w:cs="Times New Roman"/>
        </w:rPr>
        <w:t>ical shortcomings are real</w:t>
      </w:r>
      <w:r w:rsidRPr="00A90DBE">
        <w:rPr>
          <w:rFonts w:ascii="Times New Roman" w:hAnsi="Times New Roman" w:cs="Times New Roman"/>
        </w:rPr>
        <w:t xml:space="preserve">.  Instead of conducting analysis about the </w:t>
      </w:r>
      <w:r w:rsidRPr="00A90DBE">
        <w:rPr>
          <w:rFonts w:ascii="Times New Roman" w:hAnsi="Times New Roman" w:cs="Times New Roman"/>
        </w:rPr>
        <w:t xml:space="preserve">state of the market, this order just draws parallels “where we can.”  In doing so, it borrows analysis from an earlier decision involving much larger carriers with far greater economies of scale and determines for smaller providers “the same circumstances could exist” in rural areas.  But there is no data to demonstrate the truth of this assertion.  In other words, we take it on faith that price cap and rate-of-return areas have competitive characteristics that merit identical regulatory treatment despite years of history that suggest the contrary.  </w:t>
      </w:r>
    </w:p>
    <w:p w:rsidR="00644DAF" w:rsidRPr="00A90DBE" w:rsidP="0066239A">
      <w:pPr>
        <w:spacing w:after="120" w:line="240" w:lineRule="auto"/>
        <w:ind w:firstLine="720"/>
        <w:rPr>
          <w:rFonts w:ascii="Times New Roman" w:hAnsi="Times New Roman" w:cs="Times New Roman"/>
        </w:rPr>
      </w:pPr>
      <w:r w:rsidRPr="00A90DBE">
        <w:rPr>
          <w:rFonts w:ascii="Times New Roman" w:hAnsi="Times New Roman" w:cs="Times New Roman"/>
        </w:rPr>
        <w:t>I like faith.  I like hope.  But I don’t think they suffice as a regulatory pol</w:t>
      </w:r>
      <w:r w:rsidRPr="00A90DBE" w:rsidR="00CE375D">
        <w:rPr>
          <w:rFonts w:ascii="Times New Roman" w:hAnsi="Times New Roman" w:cs="Times New Roman"/>
        </w:rPr>
        <w:t xml:space="preserve">icy.  I think data </w:t>
      </w:r>
      <w:r w:rsidRPr="00A90DBE">
        <w:rPr>
          <w:rFonts w:ascii="Times New Roman" w:hAnsi="Times New Roman" w:cs="Times New Roman"/>
        </w:rPr>
        <w:t>should be at th</w:t>
      </w:r>
      <w:r w:rsidRPr="00A90DBE" w:rsidR="00CE375D">
        <w:rPr>
          <w:rFonts w:ascii="Times New Roman" w:hAnsi="Times New Roman" w:cs="Times New Roman"/>
        </w:rPr>
        <w:t>e center of everything</w:t>
      </w:r>
      <w:r w:rsidRPr="00A90DBE" w:rsidR="005D7E6A">
        <w:rPr>
          <w:rFonts w:ascii="Times New Roman" w:hAnsi="Times New Roman" w:cs="Times New Roman"/>
        </w:rPr>
        <w:t xml:space="preserve"> we do—so </w:t>
      </w:r>
      <w:r w:rsidRPr="00A90DBE">
        <w:rPr>
          <w:rFonts w:ascii="Times New Roman" w:hAnsi="Times New Roman" w:cs="Times New Roman"/>
        </w:rPr>
        <w:t xml:space="preserve">when we reform our policies to reflect changing times and technologies our work is supported by </w:t>
      </w:r>
      <w:r w:rsidRPr="00A90DBE" w:rsidR="00CE375D">
        <w:rPr>
          <w:rFonts w:ascii="Times New Roman" w:hAnsi="Times New Roman" w:cs="Times New Roman"/>
        </w:rPr>
        <w:t xml:space="preserve">evidence on the ground.  Here, we miss that mark, so I respectfully concur.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