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34012" w:rsidRPr="005577AD" w:rsidP="00934012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934012" w:rsidP="00934012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COMMISSIONER Brendan CARR</w:t>
      </w:r>
    </w:p>
    <w:p w:rsidR="00411AE4" w:rsidRPr="005577AD" w:rsidP="00934012">
      <w:pPr>
        <w:jc w:val="center"/>
        <w:rPr>
          <w:b/>
          <w:bCs/>
          <w:caps/>
          <w:szCs w:val="22"/>
        </w:rPr>
      </w:pPr>
    </w:p>
    <w:p w:rsidR="00411AE4" w:rsidRPr="00411AE4" w:rsidP="00411AE4">
      <w:pPr>
        <w:rPr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411AE4">
        <w:rPr>
          <w:i/>
          <w:iCs/>
          <w:szCs w:val="22"/>
        </w:rPr>
        <w:t>American Broadband &amp; Tel</w:t>
      </w:r>
      <w:bookmarkStart w:id="0" w:name="_GoBack"/>
      <w:bookmarkEnd w:id="0"/>
      <w:r w:rsidRPr="00411AE4">
        <w:rPr>
          <w:i/>
          <w:iCs/>
          <w:szCs w:val="22"/>
        </w:rPr>
        <w:t>ecommunications Co</w:t>
      </w:r>
      <w:r>
        <w:rPr>
          <w:i/>
          <w:iCs/>
          <w:szCs w:val="22"/>
        </w:rPr>
        <w:t>mpany</w:t>
      </w:r>
      <w:r w:rsidRPr="00411AE4">
        <w:rPr>
          <w:i/>
          <w:iCs/>
          <w:szCs w:val="22"/>
        </w:rPr>
        <w:t xml:space="preserve">; Jeffrey S. </w:t>
      </w:r>
      <w:r w:rsidRPr="00411AE4">
        <w:rPr>
          <w:i/>
          <w:iCs/>
          <w:szCs w:val="22"/>
        </w:rPr>
        <w:t>Ansted</w:t>
      </w:r>
      <w:r w:rsidRPr="00411AE4">
        <w:rPr>
          <w:i/>
          <w:iCs/>
          <w:szCs w:val="22"/>
        </w:rPr>
        <w:t xml:space="preserve">, </w:t>
      </w:r>
      <w:r w:rsidRPr="00411AE4">
        <w:rPr>
          <w:iCs/>
          <w:szCs w:val="22"/>
        </w:rPr>
        <w:t>File No. EB-IHD-</w:t>
      </w:r>
    </w:p>
    <w:p w:rsidR="00934012" w:rsidRPr="00411AE4" w:rsidP="00411AE4">
      <w:pPr>
        <w:rPr>
          <w:iCs/>
          <w:szCs w:val="22"/>
        </w:rPr>
      </w:pPr>
      <w:r w:rsidRPr="00411AE4">
        <w:rPr>
          <w:iCs/>
          <w:szCs w:val="22"/>
        </w:rPr>
        <w:tab/>
        <w:t>17-00023554</w:t>
      </w:r>
      <w:r w:rsidRPr="00411AE4">
        <w:rPr>
          <w:iCs/>
          <w:szCs w:val="22"/>
        </w:rPr>
        <w:t>.</w:t>
      </w:r>
    </w:p>
    <w:p w:rsidR="00934012" w:rsidRPr="00411AE4" w:rsidP="00934012">
      <w:pPr>
        <w:ind w:firstLine="720"/>
        <w:rPr>
          <w:szCs w:val="22"/>
        </w:rPr>
      </w:pPr>
    </w:p>
    <w:p w:rsidR="001C3418" w:rsidP="001C3418">
      <w:pPr>
        <w:ind w:firstLine="720"/>
      </w:pPr>
      <w:r>
        <w:t xml:space="preserve">Every time a company steals a dollar from Lifeline, it undermines the goals of the program.  </w:t>
      </w:r>
      <w:r>
        <w:t>So</w:t>
      </w:r>
      <w:r>
        <w:t xml:space="preserve"> the FCC has a responsibility to ratepayers and beneficiaries alike to hold bad actors accountable.  And this case appears to be a particularly egregious example of fraud.  </w:t>
      </w:r>
    </w:p>
    <w:p w:rsidR="001C3418" w:rsidP="001C3418">
      <w:pPr>
        <w:ind w:firstLine="720"/>
      </w:pPr>
    </w:p>
    <w:p w:rsidR="001C3418" w:rsidP="001C3418">
      <w:pPr>
        <w:ind w:firstLine="720"/>
      </w:pPr>
      <w:r>
        <w:t xml:space="preserve">American Broadband apparently defrauded the Lifeline program to the tune of millions of dollars.  Here’s what the facts indicate:  </w:t>
      </w:r>
    </w:p>
    <w:p w:rsidR="001C3418" w:rsidP="001C3418">
      <w:pPr>
        <w:ind w:firstLine="720"/>
      </w:pPr>
    </w:p>
    <w:p w:rsidR="001C3418" w:rsidP="001C3418">
      <w:pPr>
        <w:ind w:left="1080" w:hanging="360"/>
      </w:pPr>
      <w:r>
        <w:t xml:space="preserve">● </w:t>
      </w:r>
      <w:r>
        <w:tab/>
        <w:t>it sought and received support for dead people—more than 45,000 times over just one five-month period;</w:t>
      </w:r>
    </w:p>
    <w:p w:rsidR="001C3418" w:rsidP="001C3418">
      <w:pPr>
        <w:ind w:left="1080" w:hanging="360"/>
      </w:pPr>
    </w:p>
    <w:p w:rsidR="001C3418" w:rsidP="001C3418">
      <w:pPr>
        <w:ind w:left="1080" w:hanging="360"/>
      </w:pPr>
      <w:r>
        <w:t xml:space="preserve">● </w:t>
      </w:r>
      <w:r>
        <w:tab/>
        <w:t xml:space="preserve">when it found live customers, it would sign them up multiple times—in one case using the same person’s name more than 20 times; </w:t>
      </w:r>
    </w:p>
    <w:p w:rsidR="001C3418" w:rsidP="001C3418">
      <w:pPr>
        <w:ind w:left="1080" w:hanging="360"/>
      </w:pPr>
    </w:p>
    <w:p w:rsidR="001C3418" w:rsidP="001C3418">
      <w:pPr>
        <w:ind w:left="1080" w:hanging="360"/>
      </w:pPr>
      <w:r>
        <w:t xml:space="preserve">● </w:t>
      </w:r>
      <w:r>
        <w:tab/>
        <w:t>it would also manipulate data to generate fake or ghost customers—including by making up dates of birth, using vacant lots as addresses, and by inventing social security numbers;</w:t>
      </w:r>
    </w:p>
    <w:p w:rsidR="001C3418" w:rsidP="001C3418">
      <w:pPr>
        <w:ind w:left="1080" w:hanging="360"/>
      </w:pPr>
    </w:p>
    <w:p w:rsidR="001C3418" w:rsidP="001C3418">
      <w:pPr>
        <w:ind w:left="1080" w:hanging="360"/>
      </w:pPr>
      <w:r>
        <w:t xml:space="preserve">● </w:t>
      </w:r>
      <w:r>
        <w:tab/>
        <w:t>not to miss out on the action, one agent for the company even signed himself up, twice.</w:t>
      </w:r>
    </w:p>
    <w:p w:rsidR="001C3418" w:rsidP="001C3418">
      <w:pPr>
        <w:ind w:left="1080" w:hanging="360"/>
      </w:pPr>
    </w:p>
    <w:p w:rsidR="001C3418" w:rsidP="001C3418">
      <w:r>
        <w:tab/>
        <w:t xml:space="preserve">But the apparent con did not stop there.  As alleged in the Notice, the owner of American Broadband illegally authorized the transfer of over $10 million in Lifeline funds to personal accounts.  And he apparently used those funds: </w:t>
      </w:r>
    </w:p>
    <w:p w:rsidR="001C3418" w:rsidP="001C3418"/>
    <w:p w:rsidR="001C3418" w:rsidP="001C3418">
      <w:pPr>
        <w:ind w:left="1080" w:hanging="360"/>
      </w:pPr>
      <w:r>
        <w:t>●</w:t>
      </w:r>
      <w:r>
        <w:tab/>
        <w:t xml:space="preserve">to purchase a $1.3 million condo in Florida; </w:t>
      </w:r>
    </w:p>
    <w:p w:rsidR="001C3418" w:rsidP="001C3418">
      <w:pPr>
        <w:ind w:left="1080" w:hanging="360"/>
      </w:pPr>
    </w:p>
    <w:p w:rsidR="001C3418" w:rsidP="001C3418">
      <w:pPr>
        <w:ind w:left="1080" w:hanging="360"/>
      </w:pPr>
      <w:r>
        <w:t xml:space="preserve">● </w:t>
      </w:r>
      <w:r>
        <w:tab/>
        <w:t xml:space="preserve">to buy a $250,000 Ferrari; </w:t>
      </w:r>
    </w:p>
    <w:p w:rsidR="001C3418" w:rsidP="001C3418">
      <w:pPr>
        <w:ind w:left="1080" w:hanging="360"/>
      </w:pPr>
    </w:p>
    <w:p w:rsidR="001C3418" w:rsidP="001C3418">
      <w:pPr>
        <w:ind w:left="1080" w:hanging="360"/>
      </w:pPr>
      <w:r>
        <w:t xml:space="preserve">● </w:t>
      </w:r>
      <w:r>
        <w:tab/>
        <w:t>to pay for a country club and yacht membership; and</w:t>
      </w:r>
    </w:p>
    <w:p w:rsidR="001C3418" w:rsidP="001C3418">
      <w:pPr>
        <w:ind w:left="1080" w:hanging="360"/>
      </w:pPr>
    </w:p>
    <w:p w:rsidR="001C3418" w:rsidP="001C3418">
      <w:pPr>
        <w:ind w:left="1080" w:hanging="360"/>
      </w:pPr>
      <w:r>
        <w:t xml:space="preserve">● </w:t>
      </w:r>
      <w:r>
        <w:tab/>
        <w:t>for an $8 million jet, which he used to fly to the Cayman Islands.</w:t>
      </w:r>
    </w:p>
    <w:p w:rsidR="001C3418" w:rsidP="001C3418">
      <w:r>
        <w:t xml:space="preserve"> </w:t>
      </w:r>
    </w:p>
    <w:p w:rsidR="00934012" w:rsidRPr="005577AD" w:rsidP="001C3418">
      <w:pPr>
        <w:spacing w:after="120"/>
        <w:ind w:firstLine="720"/>
        <w:rPr>
          <w:szCs w:val="22"/>
        </w:rPr>
      </w:pPr>
      <w:r>
        <w:t xml:space="preserve">It would be hard to describe a more brazen or textbook example of fraud, particularly when the entire purpose of the Lifeline program is to benefit low-income individuals.  </w:t>
      </w:r>
      <w:r>
        <w:t>So</w:t>
      </w:r>
      <w:r>
        <w:t xml:space="preserve"> I am glad that this FCC is taking strong action to hold bad actors accountable.  </w:t>
      </w:r>
      <w:r w:rsidRPr="00E03623">
        <w:t>Thank</w:t>
      </w:r>
      <w:r>
        <w:t xml:space="preserve"> you</w:t>
      </w:r>
      <w:r w:rsidRPr="00E03623">
        <w:t xml:space="preserve"> to the staff of the Enforcement Bureau for your diligent work on this investigation.  The </w:t>
      </w:r>
      <w:r>
        <w:t>Notice</w:t>
      </w:r>
      <w:r w:rsidRPr="00E03623">
        <w:t xml:space="preserve"> has my support.</w:t>
      </w:r>
    </w:p>
    <w:p w:rsidR="00934012" w:rsidRPr="005577AD" w:rsidP="00934012">
      <w:pPr>
        <w:widowControl/>
        <w:ind w:firstLine="720"/>
        <w:rPr>
          <w:szCs w:val="22"/>
        </w:rPr>
      </w:pPr>
    </w:p>
    <w:p w:rsidR="00934012" w:rsidRPr="00DE72D3" w:rsidP="00934012"/>
    <w:p w:rsidR="002C00E8" w:rsidRPr="00934012" w:rsidP="00934012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AB5BF5">
      <w:rPr>
        <w:spacing w:val="-2"/>
      </w:rPr>
      <w:t>FCC 18-144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0C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34750C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34750C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34750C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34750C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34750C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34750C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34750C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34750C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34750C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3475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750C"/>
  </w:style>
  <w:style w:type="paragraph" w:customStyle="1" w:styleId="ParaNum">
    <w:name w:val="ParaNum"/>
    <w:basedOn w:val="Normal"/>
    <w:rsid w:val="0034750C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34750C"/>
    <w:rPr>
      <w:sz w:val="20"/>
    </w:rPr>
  </w:style>
  <w:style w:type="character" w:styleId="EndnoteReference">
    <w:name w:val="endnote reference"/>
    <w:semiHidden/>
    <w:rsid w:val="0034750C"/>
    <w:rPr>
      <w:vertAlign w:val="superscript"/>
    </w:rPr>
  </w:style>
  <w:style w:type="paragraph" w:styleId="FootnoteText">
    <w:name w:val="footnote text"/>
    <w:rsid w:val="0034750C"/>
    <w:pPr>
      <w:spacing w:after="120"/>
    </w:pPr>
  </w:style>
  <w:style w:type="character" w:styleId="FootnoteReference">
    <w:name w:val="footnote reference"/>
    <w:rsid w:val="0034750C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34750C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34750C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34750C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34750C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34750C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34750C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34750C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34750C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34750C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34750C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4750C"/>
  </w:style>
  <w:style w:type="paragraph" w:styleId="Header">
    <w:name w:val="header"/>
    <w:basedOn w:val="Normal"/>
    <w:autoRedefine/>
    <w:rsid w:val="0034750C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34750C"/>
    <w:pPr>
      <w:tabs>
        <w:tab w:val="center" w:pos="4320"/>
        <w:tab w:val="right" w:pos="8640"/>
      </w:tabs>
    </w:pPr>
  </w:style>
  <w:style w:type="character" w:styleId="PageNumber">
    <w:name w:val="page number"/>
    <w:rsid w:val="0034750C"/>
  </w:style>
  <w:style w:type="paragraph" w:styleId="BlockText">
    <w:name w:val="Block Text"/>
    <w:basedOn w:val="Normal"/>
    <w:rsid w:val="0034750C"/>
    <w:pPr>
      <w:spacing w:after="240"/>
      <w:ind w:left="1440" w:right="1440"/>
    </w:pPr>
  </w:style>
  <w:style w:type="paragraph" w:customStyle="1" w:styleId="Paratitle">
    <w:name w:val="Para title"/>
    <w:basedOn w:val="Normal"/>
    <w:rsid w:val="0034750C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34750C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34750C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34750C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34750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34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